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color w:val="auto"/>
          <w:spacing w:val="-8"/>
          <w:sz w:val="36"/>
          <w:szCs w:val="36"/>
        </w:rPr>
      </w:pPr>
    </w:p>
    <w:p>
      <w:pPr>
        <w:spacing w:line="720" w:lineRule="auto"/>
        <w:jc w:val="center"/>
        <w:rPr>
          <w:rFonts w:hint="eastAsia" w:ascii="方正小标宋简体" w:hAnsi="方正小标宋简体" w:eastAsia="方正小标宋简体" w:cs="方正小标宋简体"/>
          <w:color w:val="auto"/>
          <w:spacing w:val="-8"/>
          <w:sz w:val="36"/>
          <w:szCs w:val="36"/>
        </w:rPr>
      </w:pPr>
    </w:p>
    <w:p>
      <w:pPr>
        <w:spacing w:line="720" w:lineRule="auto"/>
        <w:jc w:val="center"/>
        <w:rPr>
          <w:rFonts w:hint="eastAsia" w:ascii="方正小标宋简体" w:hAnsi="方正小标宋简体" w:eastAsia="方正小标宋简体" w:cs="方正小标宋简体"/>
          <w:color w:val="auto"/>
          <w:spacing w:val="-8"/>
          <w:sz w:val="44"/>
          <w:szCs w:val="44"/>
        </w:rPr>
      </w:pPr>
      <w:r>
        <w:rPr>
          <w:rFonts w:hint="eastAsia" w:ascii="方正小标宋简体" w:hAnsi="方正小标宋简体" w:eastAsia="方正小标宋简体" w:cs="方正小标宋简体"/>
          <w:color w:val="auto"/>
          <w:spacing w:val="-8"/>
          <w:sz w:val="44"/>
          <w:szCs w:val="44"/>
        </w:rPr>
        <w:t>云南省广播电视和网络视听产业发展规划</w:t>
      </w:r>
    </w:p>
    <w:p>
      <w:pPr>
        <w:spacing w:line="720" w:lineRule="auto"/>
        <w:jc w:val="center"/>
        <w:rPr>
          <w:rFonts w:hint="eastAsia" w:ascii="方正小标宋简体" w:hAnsi="方正小标宋简体" w:eastAsia="方正小标宋简体" w:cs="方正小标宋简体"/>
          <w:color w:val="auto"/>
          <w:spacing w:val="-8"/>
          <w:sz w:val="44"/>
          <w:szCs w:val="44"/>
        </w:rPr>
      </w:pPr>
      <w:r>
        <w:rPr>
          <w:rFonts w:hint="eastAsia" w:ascii="方正小标宋简体" w:hAnsi="方正小标宋简体" w:eastAsia="方正小标宋简体" w:cs="方正小标宋简体"/>
          <w:color w:val="auto"/>
          <w:spacing w:val="-8"/>
          <w:sz w:val="44"/>
          <w:szCs w:val="44"/>
        </w:rPr>
        <w:t>（2025-2030年）</w:t>
      </w:r>
    </w:p>
    <w:p>
      <w:pPr>
        <w:jc w:val="center"/>
        <w:rPr>
          <w:rFonts w:hint="eastAsia" w:ascii="方正小标宋简体" w:hAnsi="方正小标宋简体" w:eastAsia="方正小标宋简体" w:cs="方正小标宋简体"/>
          <w:color w:val="auto"/>
          <w:spacing w:val="-8"/>
          <w:sz w:val="36"/>
          <w:szCs w:val="36"/>
        </w:rPr>
      </w:pPr>
      <w:r>
        <w:rPr>
          <w:rFonts w:hint="eastAsia" w:ascii="方正小标宋简体" w:hAnsi="方正小标宋简体" w:eastAsia="方正小标宋简体" w:cs="方正小标宋简体"/>
          <w:color w:val="auto"/>
          <w:spacing w:val="-8"/>
          <w:sz w:val="36"/>
          <w:szCs w:val="36"/>
        </w:rPr>
        <w:t>（</w:t>
      </w:r>
      <w:r>
        <w:rPr>
          <w:rFonts w:hint="eastAsia" w:ascii="方正小标宋简体" w:hAnsi="方正小标宋简体" w:eastAsia="方正小标宋简体" w:cs="方正小标宋简体"/>
          <w:color w:val="auto"/>
          <w:spacing w:val="-8"/>
          <w:sz w:val="36"/>
          <w:szCs w:val="36"/>
          <w:lang w:eastAsia="zh-CN"/>
        </w:rPr>
        <w:t>精简版</w:t>
      </w:r>
      <w:r>
        <w:rPr>
          <w:rFonts w:hint="eastAsia" w:ascii="方正小标宋简体" w:hAnsi="方正小标宋简体" w:eastAsia="方正小标宋简体" w:cs="方正小标宋简体"/>
          <w:color w:val="auto"/>
          <w:spacing w:val="-8"/>
          <w:sz w:val="36"/>
          <w:szCs w:val="36"/>
        </w:rPr>
        <w:t>）</w:t>
      </w:r>
    </w:p>
    <w:p>
      <w:pPr>
        <w:pStyle w:val="12"/>
        <w:ind w:firstLine="3784" w:firstLineChars="1100"/>
        <w:rPr>
          <w:rFonts w:hint="eastAsia" w:ascii="方正小标宋简体" w:hAnsi="方正小标宋简体" w:eastAsia="方正小标宋简体" w:cs="方正小标宋简体"/>
          <w:color w:val="auto"/>
          <w:spacing w:val="-8"/>
          <w:sz w:val="36"/>
          <w:szCs w:val="36"/>
        </w:rPr>
      </w:pPr>
    </w:p>
    <w:p>
      <w:pPr>
        <w:pStyle w:val="12"/>
        <w:ind w:firstLine="3784" w:firstLineChars="1100"/>
        <w:rPr>
          <w:rFonts w:hint="eastAsia" w:ascii="方正小标宋简体" w:hAnsi="方正小标宋简体" w:eastAsia="方正小标宋简体" w:cs="方正小标宋简体"/>
          <w:color w:val="auto"/>
          <w:spacing w:val="-8"/>
          <w:sz w:val="36"/>
          <w:szCs w:val="36"/>
        </w:rPr>
      </w:pPr>
    </w:p>
    <w:p>
      <w:pPr>
        <w:pStyle w:val="12"/>
        <w:ind w:firstLine="3784" w:firstLineChars="1100"/>
        <w:rPr>
          <w:rFonts w:hint="eastAsia" w:ascii="方正小标宋简体" w:hAnsi="方正小标宋简体" w:eastAsia="方正小标宋简体" w:cs="方正小标宋简体"/>
          <w:color w:val="auto"/>
          <w:spacing w:val="-8"/>
          <w:sz w:val="36"/>
          <w:szCs w:val="36"/>
        </w:rPr>
      </w:pPr>
    </w:p>
    <w:p>
      <w:pPr>
        <w:rPr>
          <w:rFonts w:hint="eastAsia" w:ascii="方正小标宋简体" w:hAnsi="方正小标宋简体" w:eastAsia="方正小标宋简体" w:cs="方正小标宋简体"/>
          <w:color w:val="auto"/>
          <w:spacing w:val="-8"/>
          <w:sz w:val="36"/>
          <w:szCs w:val="36"/>
        </w:rPr>
      </w:pPr>
    </w:p>
    <w:p>
      <w:pPr>
        <w:rPr>
          <w:rFonts w:hint="eastAsia" w:ascii="方正小标宋简体" w:hAnsi="方正小标宋简体" w:eastAsia="方正小标宋简体" w:cs="方正小标宋简体"/>
          <w:color w:val="auto"/>
          <w:spacing w:val="-8"/>
          <w:sz w:val="36"/>
          <w:szCs w:val="36"/>
        </w:rPr>
      </w:pPr>
    </w:p>
    <w:p>
      <w:pPr>
        <w:rPr>
          <w:rFonts w:hint="eastAsia" w:ascii="方正小标宋简体" w:hAnsi="方正小标宋简体" w:eastAsia="方正小标宋简体" w:cs="方正小标宋简体"/>
          <w:color w:val="auto"/>
          <w:spacing w:val="-8"/>
          <w:sz w:val="36"/>
          <w:szCs w:val="36"/>
        </w:rPr>
      </w:pPr>
    </w:p>
    <w:p>
      <w:pPr>
        <w:rPr>
          <w:rFonts w:hint="eastAsia" w:ascii="方正小标宋简体" w:hAnsi="方正小标宋简体" w:eastAsia="方正小标宋简体" w:cs="方正小标宋简体"/>
          <w:color w:val="auto"/>
          <w:spacing w:val="-8"/>
          <w:sz w:val="36"/>
          <w:szCs w:val="36"/>
        </w:rPr>
      </w:pPr>
    </w:p>
    <w:p>
      <w:pPr>
        <w:rPr>
          <w:rFonts w:hint="eastAsia" w:ascii="方正小标宋简体" w:hAnsi="方正小标宋简体" w:eastAsia="方正小标宋简体" w:cs="方正小标宋简体"/>
          <w:color w:val="auto"/>
          <w:spacing w:val="-8"/>
          <w:sz w:val="36"/>
          <w:szCs w:val="36"/>
        </w:rPr>
      </w:pPr>
    </w:p>
    <w:p>
      <w:pPr>
        <w:rPr>
          <w:rFonts w:hint="eastAsia" w:ascii="方正小标宋简体" w:hAnsi="方正小标宋简体" w:eastAsia="方正小标宋简体" w:cs="方正小标宋简体"/>
          <w:color w:val="auto"/>
          <w:spacing w:val="-8"/>
          <w:sz w:val="36"/>
          <w:szCs w:val="36"/>
        </w:rPr>
      </w:pPr>
    </w:p>
    <w:p>
      <w:pPr>
        <w:rPr>
          <w:rFonts w:hint="eastAsia" w:ascii="方正小标宋简体" w:hAnsi="方正小标宋简体" w:eastAsia="方正小标宋简体" w:cs="方正小标宋简体"/>
          <w:color w:val="auto"/>
          <w:spacing w:val="-8"/>
          <w:sz w:val="36"/>
          <w:szCs w:val="36"/>
        </w:rPr>
      </w:pPr>
    </w:p>
    <w:p>
      <w:pPr>
        <w:rPr>
          <w:rFonts w:hint="eastAsia" w:ascii="方正小标宋简体" w:hAnsi="方正小标宋简体" w:eastAsia="方正小标宋简体" w:cs="方正小标宋简体"/>
          <w:color w:val="auto"/>
          <w:spacing w:val="-8"/>
          <w:sz w:val="36"/>
          <w:szCs w:val="36"/>
        </w:rPr>
      </w:pPr>
    </w:p>
    <w:p>
      <w:pPr>
        <w:rPr>
          <w:color w:val="auto"/>
        </w:rPr>
      </w:pPr>
    </w:p>
    <w:p>
      <w:pPr>
        <w:jc w:val="center"/>
        <w:rPr>
          <w:rFonts w:hint="eastAsia" w:ascii="黑体" w:hAnsi="黑体" w:eastAsia="黑体"/>
          <w:color w:val="auto"/>
          <w:sz w:val="32"/>
          <w:szCs w:val="32"/>
        </w:rPr>
      </w:pPr>
      <w:r>
        <w:rPr>
          <w:rFonts w:hint="eastAsia" w:ascii="黑体" w:hAnsi="黑体" w:eastAsia="黑体"/>
          <w:color w:val="auto"/>
          <w:sz w:val="32"/>
          <w:szCs w:val="32"/>
        </w:rPr>
        <w:t>云南省广播电视局</w:t>
      </w:r>
    </w:p>
    <w:p>
      <w:pPr>
        <w:jc w:val="center"/>
        <w:rPr>
          <w:rFonts w:hint="eastAsia" w:ascii="方正小标宋简体" w:hAnsi="方正小标宋简体" w:eastAsia="方正小标宋简体" w:cs="方正小标宋简体"/>
          <w:color w:val="auto"/>
          <w:spacing w:val="-8"/>
          <w:sz w:val="32"/>
          <w:szCs w:val="32"/>
        </w:rPr>
      </w:pPr>
      <w:r>
        <w:rPr>
          <w:rFonts w:hint="eastAsia" w:ascii="黑体" w:hAnsi="黑体" w:eastAsia="黑体"/>
          <w:color w:val="auto"/>
          <w:sz w:val="32"/>
          <w:szCs w:val="32"/>
        </w:rPr>
        <w:t>二〇二四年</w:t>
      </w:r>
      <w:r>
        <w:rPr>
          <w:rFonts w:hint="eastAsia" w:ascii="黑体" w:hAnsi="黑体" w:eastAsia="黑体"/>
          <w:color w:val="auto"/>
          <w:sz w:val="32"/>
          <w:szCs w:val="32"/>
          <w:lang w:eastAsia="zh-CN"/>
        </w:rPr>
        <w:t>十一</w:t>
      </w:r>
      <w:r>
        <w:rPr>
          <w:rFonts w:hint="eastAsia" w:ascii="黑体" w:hAnsi="黑体" w:eastAsia="黑体"/>
          <w:color w:val="auto"/>
          <w:sz w:val="32"/>
          <w:szCs w:val="32"/>
        </w:rPr>
        <w:t>月</w:t>
      </w:r>
    </w:p>
    <w:p>
      <w:pPr>
        <w:pStyle w:val="12"/>
        <w:rPr>
          <w:color w:val="auto"/>
        </w:rPr>
      </w:pPr>
    </w:p>
    <w:p>
      <w:pPr>
        <w:spacing w:line="560" w:lineRule="exact"/>
        <w:ind w:firstLine="640" w:firstLineChars="200"/>
        <w:rPr>
          <w:rFonts w:hint="eastAsia" w:ascii="仿宋_GB2312" w:hAnsi="仿宋_GB2312" w:eastAsia="仿宋_GB2312" w:cs="仿宋_GB2312"/>
          <w:color w:val="auto"/>
          <w:sz w:val="32"/>
          <w:szCs w:val="32"/>
        </w:rPr>
        <w:sectPr>
          <w:footerReference r:id="rId4" w:type="default"/>
          <w:pgSz w:w="11906" w:h="16838"/>
          <w:pgMar w:top="1440" w:right="1800" w:bottom="1440" w:left="1800" w:header="851" w:footer="992" w:gutter="0"/>
          <w:cols w:space="425" w:num="1"/>
          <w:titlePg/>
          <w:docGrid w:type="lines" w:linePitch="312" w:charSpace="0"/>
        </w:sectPr>
      </w:pPr>
    </w:p>
    <w:p>
      <w:pPr>
        <w:jc w:val="center"/>
        <w:rPr>
          <w:rFonts w:hint="eastAsia" w:ascii="方正小标宋简体" w:hAnsi="方正小标宋简体" w:eastAsia="方正小标宋简体" w:cs="黑体"/>
          <w:color w:val="auto"/>
          <w:sz w:val="36"/>
          <w:szCs w:val="36"/>
        </w:rPr>
      </w:pPr>
      <w:r>
        <w:rPr>
          <w:rFonts w:hint="eastAsia" w:ascii="方正小标宋简体" w:hAnsi="方正小标宋简体" w:eastAsia="方正小标宋简体" w:cs="黑体"/>
          <w:color w:val="auto"/>
          <w:sz w:val="36"/>
          <w:szCs w:val="36"/>
        </w:rPr>
        <w:t>目</w:t>
      </w:r>
      <w:r>
        <w:rPr>
          <w:rFonts w:ascii="方正小标宋简体" w:hAnsi="方正小标宋简体" w:eastAsia="方正小标宋简体" w:cs="黑体"/>
          <w:color w:val="auto"/>
          <w:sz w:val="36"/>
          <w:szCs w:val="36"/>
        </w:rPr>
        <w:t xml:space="preserve"> </w:t>
      </w:r>
      <w:r>
        <w:rPr>
          <w:rFonts w:hint="eastAsia" w:ascii="方正小标宋简体" w:hAnsi="方正小标宋简体" w:eastAsia="方正小标宋简体" w:cs="黑体"/>
          <w:color w:val="auto"/>
          <w:sz w:val="36"/>
          <w:szCs w:val="36"/>
        </w:rPr>
        <w:t xml:space="preserve"> 录</w:t>
      </w:r>
    </w:p>
    <w:p>
      <w:pPr>
        <w:pStyle w:val="16"/>
        <w:rPr>
          <w:rFonts w:hint="eastAsia" w:asciiTheme="minorHAnsi" w:hAnsiTheme="minorHAnsi" w:eastAsiaTheme="minorEastAsia" w:cstheme="minorBidi"/>
          <w:color w:val="auto"/>
          <w:kern w:val="2"/>
          <w:sz w:val="28"/>
          <w:szCs w:val="28"/>
          <w14:ligatures w14:val="standardContextual"/>
        </w:rPr>
      </w:pPr>
      <w:r>
        <w:rPr>
          <w:rFonts w:cs="方正小标宋简体"/>
          <w:color w:val="auto"/>
          <w:spacing w:val="-8"/>
          <w:sz w:val="28"/>
          <w:szCs w:val="28"/>
        </w:rPr>
        <w:fldChar w:fldCharType="begin"/>
      </w:r>
      <w:r>
        <w:rPr>
          <w:rFonts w:cs="方正小标宋简体"/>
          <w:color w:val="auto"/>
          <w:spacing w:val="-8"/>
          <w:sz w:val="28"/>
          <w:szCs w:val="28"/>
        </w:rPr>
        <w:instrText xml:space="preserve"> </w:instrText>
      </w:r>
      <w:r>
        <w:rPr>
          <w:rFonts w:hint="eastAsia" w:cs="方正小标宋简体"/>
          <w:color w:val="auto"/>
          <w:spacing w:val="-8"/>
          <w:sz w:val="28"/>
          <w:szCs w:val="28"/>
        </w:rPr>
        <w:instrText xml:space="preserve">TOC \o "1-2" \h \z \u</w:instrText>
      </w:r>
      <w:r>
        <w:rPr>
          <w:rFonts w:cs="方正小标宋简体"/>
          <w:color w:val="auto"/>
          <w:spacing w:val="-8"/>
          <w:sz w:val="28"/>
          <w:szCs w:val="28"/>
        </w:rPr>
        <w:instrText xml:space="preserve"> </w:instrText>
      </w:r>
      <w:r>
        <w:rPr>
          <w:rFonts w:cs="方正小标宋简体"/>
          <w:color w:val="auto"/>
          <w:spacing w:val="-8"/>
          <w:sz w:val="28"/>
          <w:szCs w:val="28"/>
        </w:rPr>
        <w:fldChar w:fldCharType="separate"/>
      </w:r>
      <w:r>
        <w:rPr>
          <w:color w:val="auto"/>
        </w:rPr>
        <w:fldChar w:fldCharType="begin"/>
      </w:r>
      <w:r>
        <w:rPr>
          <w:color w:val="auto"/>
        </w:rPr>
        <w:instrText xml:space="preserve"> HYPERLINK \l "_Toc177654476" </w:instrText>
      </w:r>
      <w:r>
        <w:rPr>
          <w:color w:val="auto"/>
        </w:rPr>
        <w:fldChar w:fldCharType="separate"/>
      </w:r>
      <w:r>
        <w:rPr>
          <w:rStyle w:val="25"/>
          <w:rFonts w:hint="eastAsia"/>
          <w:color w:val="auto"/>
          <w:sz w:val="28"/>
          <w:szCs w:val="28"/>
        </w:rPr>
        <w:t>一、发展现状</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PAGEREF _Toc177654476 \h </w:instrText>
      </w:r>
      <w:r>
        <w:rPr>
          <w:rFonts w:hint="eastAsia"/>
          <w:color w:val="auto"/>
          <w:sz w:val="28"/>
          <w:szCs w:val="28"/>
        </w:rPr>
        <w:fldChar w:fldCharType="separate"/>
      </w:r>
      <w:r>
        <w:rPr>
          <w:rFonts w:hint="eastAsia"/>
          <w:color w:val="auto"/>
          <w:sz w:val="28"/>
          <w:szCs w:val="28"/>
        </w:rPr>
        <w:t>1</w:t>
      </w:r>
      <w:r>
        <w:rPr>
          <w:rFonts w:hint="eastAsia"/>
          <w:color w:val="auto"/>
          <w:sz w:val="28"/>
          <w:szCs w:val="28"/>
        </w:rPr>
        <w:fldChar w:fldCharType="end"/>
      </w:r>
      <w:r>
        <w:rPr>
          <w:rFonts w:hint="eastAsia"/>
          <w:color w:val="auto"/>
          <w:sz w:val="28"/>
          <w:szCs w:val="28"/>
        </w:rPr>
        <w:fldChar w:fldCharType="end"/>
      </w:r>
    </w:p>
    <w:p>
      <w:pPr>
        <w:pStyle w:val="19"/>
        <w:rPr>
          <w:rFonts w:hint="eastAsia" w:asciiTheme="minorHAnsi" w:hAnsiTheme="minorHAnsi" w:eastAsiaTheme="minorEastAsia" w:cstheme="minorBidi"/>
          <w:color w:val="auto"/>
          <w:sz w:val="28"/>
          <w:szCs w:val="28"/>
          <w14:ligatures w14:val="standardContextual"/>
        </w:rPr>
      </w:pPr>
      <w:r>
        <w:rPr>
          <w:color w:val="auto"/>
        </w:rPr>
        <w:fldChar w:fldCharType="begin"/>
      </w:r>
      <w:r>
        <w:rPr>
          <w:color w:val="auto"/>
        </w:rPr>
        <w:instrText xml:space="preserve"> HYPERLINK \l "_Toc177654477" </w:instrText>
      </w:r>
      <w:r>
        <w:rPr>
          <w:color w:val="auto"/>
        </w:rPr>
        <w:fldChar w:fldCharType="separate"/>
      </w:r>
      <w:r>
        <w:rPr>
          <w:rStyle w:val="25"/>
          <w:rFonts w:hint="eastAsia" w:ascii="楷体_GB2312" w:hAnsi="楷体_GB2312" w:eastAsia="楷体_GB2312" w:cs="楷体_GB2312"/>
          <w:color w:val="auto"/>
          <w:sz w:val="28"/>
          <w:szCs w:val="28"/>
        </w:rPr>
        <w:t>（一）发展成就</w:t>
      </w:r>
      <w:r>
        <w:rPr>
          <w:color w:val="auto"/>
          <w:sz w:val="28"/>
          <w:szCs w:val="28"/>
        </w:rPr>
        <w:tab/>
      </w:r>
      <w:r>
        <w:rPr>
          <w:rFonts w:hint="eastAsia"/>
          <w:color w:val="auto"/>
          <w:sz w:val="28"/>
          <w:szCs w:val="28"/>
        </w:rPr>
        <w:fldChar w:fldCharType="begin"/>
      </w:r>
      <w:r>
        <w:rPr>
          <w:color w:val="auto"/>
          <w:sz w:val="28"/>
          <w:szCs w:val="28"/>
        </w:rPr>
        <w:instrText xml:space="preserve"> PAGEREF _Toc177654477 \h </w:instrText>
      </w:r>
      <w:r>
        <w:rPr>
          <w:rFonts w:hint="eastAsia"/>
          <w:color w:val="auto"/>
          <w:sz w:val="28"/>
          <w:szCs w:val="28"/>
        </w:rPr>
        <w:fldChar w:fldCharType="separate"/>
      </w:r>
      <w:r>
        <w:rPr>
          <w:color w:val="auto"/>
          <w:sz w:val="28"/>
          <w:szCs w:val="28"/>
        </w:rPr>
        <w:t>1</w:t>
      </w:r>
      <w:r>
        <w:rPr>
          <w:rFonts w:hint="eastAsia"/>
          <w:color w:val="auto"/>
          <w:sz w:val="28"/>
          <w:szCs w:val="28"/>
        </w:rPr>
        <w:fldChar w:fldCharType="end"/>
      </w:r>
      <w:r>
        <w:rPr>
          <w:rFonts w:hint="eastAsia"/>
          <w:color w:val="auto"/>
          <w:sz w:val="28"/>
          <w:szCs w:val="28"/>
        </w:rPr>
        <w:fldChar w:fldCharType="end"/>
      </w:r>
    </w:p>
    <w:p>
      <w:pPr>
        <w:pStyle w:val="19"/>
        <w:rPr>
          <w:rFonts w:hint="eastAsia" w:asciiTheme="minorHAnsi" w:hAnsiTheme="minorHAnsi" w:eastAsiaTheme="minorEastAsia" w:cstheme="minorBidi"/>
          <w:color w:val="auto"/>
          <w:sz w:val="28"/>
          <w:szCs w:val="28"/>
          <w14:ligatures w14:val="standardContextual"/>
        </w:rPr>
      </w:pPr>
      <w:r>
        <w:rPr>
          <w:color w:val="auto"/>
        </w:rPr>
        <w:fldChar w:fldCharType="begin"/>
      </w:r>
      <w:r>
        <w:rPr>
          <w:color w:val="auto"/>
        </w:rPr>
        <w:instrText xml:space="preserve"> HYPERLINK \l "_Toc177654478" </w:instrText>
      </w:r>
      <w:r>
        <w:rPr>
          <w:color w:val="auto"/>
        </w:rPr>
        <w:fldChar w:fldCharType="separate"/>
      </w:r>
      <w:r>
        <w:rPr>
          <w:rStyle w:val="25"/>
          <w:rFonts w:hint="eastAsia" w:ascii="楷体_GB2312" w:hAnsi="楷体_GB2312" w:eastAsia="楷体_GB2312" w:cs="楷体_GB2312"/>
          <w:color w:val="auto"/>
          <w:sz w:val="28"/>
          <w:szCs w:val="28"/>
        </w:rPr>
        <w:t>（二）面临的形势与要求</w:t>
      </w:r>
      <w:r>
        <w:rPr>
          <w:color w:val="auto"/>
          <w:sz w:val="28"/>
          <w:szCs w:val="28"/>
        </w:rPr>
        <w:tab/>
      </w:r>
      <w:r>
        <w:rPr>
          <w:rFonts w:hint="eastAsia"/>
          <w:color w:val="auto"/>
          <w:sz w:val="28"/>
          <w:szCs w:val="28"/>
        </w:rPr>
        <w:fldChar w:fldCharType="begin"/>
      </w:r>
      <w:r>
        <w:rPr>
          <w:color w:val="auto"/>
          <w:sz w:val="28"/>
          <w:szCs w:val="28"/>
        </w:rPr>
        <w:instrText xml:space="preserve"> PAGEREF _Toc177654478 \h </w:instrText>
      </w:r>
      <w:r>
        <w:rPr>
          <w:rFonts w:hint="eastAsia"/>
          <w:color w:val="auto"/>
          <w:sz w:val="28"/>
          <w:szCs w:val="28"/>
        </w:rPr>
        <w:fldChar w:fldCharType="separate"/>
      </w:r>
      <w:r>
        <w:rPr>
          <w:color w:val="auto"/>
          <w:sz w:val="28"/>
          <w:szCs w:val="28"/>
        </w:rPr>
        <w:t>4</w:t>
      </w:r>
      <w:r>
        <w:rPr>
          <w:rFonts w:hint="eastAsia"/>
          <w:color w:val="auto"/>
          <w:sz w:val="28"/>
          <w:szCs w:val="28"/>
        </w:rPr>
        <w:fldChar w:fldCharType="end"/>
      </w:r>
      <w:r>
        <w:rPr>
          <w:rFonts w:hint="eastAsia"/>
          <w:color w:val="auto"/>
          <w:sz w:val="28"/>
          <w:szCs w:val="28"/>
        </w:rPr>
        <w:fldChar w:fldCharType="end"/>
      </w:r>
    </w:p>
    <w:p>
      <w:pPr>
        <w:pStyle w:val="19"/>
        <w:rPr>
          <w:rFonts w:hint="eastAsia" w:asciiTheme="minorHAnsi" w:hAnsiTheme="minorHAnsi" w:eastAsiaTheme="minorEastAsia" w:cstheme="minorBidi"/>
          <w:color w:val="auto"/>
          <w:sz w:val="28"/>
          <w:szCs w:val="28"/>
          <w14:ligatures w14:val="standardContextual"/>
        </w:rPr>
      </w:pPr>
      <w:r>
        <w:rPr>
          <w:color w:val="auto"/>
        </w:rPr>
        <w:fldChar w:fldCharType="begin"/>
      </w:r>
      <w:r>
        <w:rPr>
          <w:color w:val="auto"/>
        </w:rPr>
        <w:instrText xml:space="preserve"> HYPERLINK \l "_Toc177654479" </w:instrText>
      </w:r>
      <w:r>
        <w:rPr>
          <w:color w:val="auto"/>
        </w:rPr>
        <w:fldChar w:fldCharType="separate"/>
      </w:r>
      <w:r>
        <w:rPr>
          <w:rStyle w:val="25"/>
          <w:rFonts w:hint="eastAsia" w:ascii="楷体_GB2312" w:hAnsi="楷体_GB2312" w:eastAsia="楷体_GB2312" w:cs="楷体_GB2312"/>
          <w:color w:val="auto"/>
          <w:sz w:val="28"/>
          <w:szCs w:val="28"/>
        </w:rPr>
        <w:t>（三）存在的问题与不足</w:t>
      </w:r>
      <w:r>
        <w:rPr>
          <w:color w:val="auto"/>
          <w:sz w:val="28"/>
          <w:szCs w:val="28"/>
        </w:rPr>
        <w:tab/>
      </w:r>
      <w:r>
        <w:rPr>
          <w:rFonts w:hint="eastAsia"/>
          <w:color w:val="auto"/>
          <w:sz w:val="28"/>
          <w:szCs w:val="28"/>
        </w:rPr>
        <w:fldChar w:fldCharType="begin"/>
      </w:r>
      <w:r>
        <w:rPr>
          <w:color w:val="auto"/>
          <w:sz w:val="28"/>
          <w:szCs w:val="28"/>
        </w:rPr>
        <w:instrText xml:space="preserve"> PAGEREF _Toc177654479 \h </w:instrText>
      </w:r>
      <w:r>
        <w:rPr>
          <w:rFonts w:hint="eastAsia"/>
          <w:color w:val="auto"/>
          <w:sz w:val="28"/>
          <w:szCs w:val="28"/>
        </w:rPr>
        <w:fldChar w:fldCharType="separate"/>
      </w:r>
      <w:r>
        <w:rPr>
          <w:color w:val="auto"/>
          <w:sz w:val="28"/>
          <w:szCs w:val="28"/>
        </w:rPr>
        <w:t>7</w:t>
      </w:r>
      <w:r>
        <w:rPr>
          <w:rFonts w:hint="eastAsia"/>
          <w:color w:val="auto"/>
          <w:sz w:val="28"/>
          <w:szCs w:val="28"/>
        </w:rPr>
        <w:fldChar w:fldCharType="end"/>
      </w:r>
      <w:r>
        <w:rPr>
          <w:rFonts w:hint="eastAsia"/>
          <w:color w:val="auto"/>
          <w:sz w:val="28"/>
          <w:szCs w:val="28"/>
        </w:rPr>
        <w:fldChar w:fldCharType="end"/>
      </w:r>
    </w:p>
    <w:p>
      <w:pPr>
        <w:pStyle w:val="16"/>
        <w:rPr>
          <w:rFonts w:hint="eastAsia" w:asciiTheme="minorHAnsi" w:hAnsiTheme="minorHAnsi" w:eastAsiaTheme="minorEastAsia" w:cstheme="minorBidi"/>
          <w:color w:val="auto"/>
          <w:kern w:val="2"/>
          <w:sz w:val="28"/>
          <w:szCs w:val="28"/>
          <w14:ligatures w14:val="standardContextual"/>
        </w:rPr>
      </w:pPr>
      <w:r>
        <w:rPr>
          <w:color w:val="auto"/>
        </w:rPr>
        <w:fldChar w:fldCharType="begin"/>
      </w:r>
      <w:r>
        <w:rPr>
          <w:color w:val="auto"/>
        </w:rPr>
        <w:instrText xml:space="preserve"> HYPERLINK \l "_Toc177654480" </w:instrText>
      </w:r>
      <w:r>
        <w:rPr>
          <w:color w:val="auto"/>
        </w:rPr>
        <w:fldChar w:fldCharType="separate"/>
      </w:r>
      <w:r>
        <w:rPr>
          <w:rStyle w:val="25"/>
          <w:rFonts w:hint="eastAsia"/>
          <w:color w:val="auto"/>
          <w:sz w:val="28"/>
          <w:szCs w:val="28"/>
        </w:rPr>
        <w:t>二、总体要求</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PAGEREF _Toc177654480 \h </w:instrText>
      </w:r>
      <w:r>
        <w:rPr>
          <w:rFonts w:hint="eastAsia"/>
          <w:color w:val="auto"/>
          <w:sz w:val="28"/>
          <w:szCs w:val="28"/>
        </w:rPr>
        <w:fldChar w:fldCharType="separate"/>
      </w:r>
      <w:r>
        <w:rPr>
          <w:rFonts w:hint="eastAsia"/>
          <w:color w:val="auto"/>
          <w:sz w:val="28"/>
          <w:szCs w:val="28"/>
        </w:rPr>
        <w:t>9</w:t>
      </w:r>
      <w:r>
        <w:rPr>
          <w:rFonts w:hint="eastAsia"/>
          <w:color w:val="auto"/>
          <w:sz w:val="28"/>
          <w:szCs w:val="28"/>
        </w:rPr>
        <w:fldChar w:fldCharType="end"/>
      </w:r>
      <w:r>
        <w:rPr>
          <w:rFonts w:hint="eastAsia"/>
          <w:color w:val="auto"/>
          <w:sz w:val="28"/>
          <w:szCs w:val="28"/>
        </w:rPr>
        <w:fldChar w:fldCharType="end"/>
      </w:r>
    </w:p>
    <w:p>
      <w:pPr>
        <w:pStyle w:val="19"/>
        <w:rPr>
          <w:rFonts w:hint="eastAsia" w:asciiTheme="minorHAnsi" w:hAnsiTheme="minorHAnsi" w:eastAsiaTheme="minorEastAsia" w:cstheme="minorBidi"/>
          <w:color w:val="auto"/>
          <w:sz w:val="28"/>
          <w:szCs w:val="28"/>
          <w14:ligatures w14:val="standardContextual"/>
        </w:rPr>
      </w:pPr>
      <w:r>
        <w:rPr>
          <w:color w:val="auto"/>
        </w:rPr>
        <w:fldChar w:fldCharType="begin"/>
      </w:r>
      <w:r>
        <w:rPr>
          <w:color w:val="auto"/>
        </w:rPr>
        <w:instrText xml:space="preserve"> HYPERLINK \l "_Toc177654481" </w:instrText>
      </w:r>
      <w:r>
        <w:rPr>
          <w:color w:val="auto"/>
        </w:rPr>
        <w:fldChar w:fldCharType="separate"/>
      </w:r>
      <w:r>
        <w:rPr>
          <w:rStyle w:val="25"/>
          <w:rFonts w:hint="eastAsia" w:ascii="楷体_GB2312" w:hAnsi="楷体_GB2312" w:eastAsia="楷体_GB2312" w:cs="楷体_GB2312"/>
          <w:color w:val="auto"/>
          <w:sz w:val="28"/>
          <w:szCs w:val="28"/>
        </w:rPr>
        <w:t>（一）指导思想</w:t>
      </w:r>
      <w:r>
        <w:rPr>
          <w:color w:val="auto"/>
          <w:sz w:val="28"/>
          <w:szCs w:val="28"/>
        </w:rPr>
        <w:tab/>
      </w:r>
      <w:r>
        <w:rPr>
          <w:rFonts w:hint="eastAsia"/>
          <w:color w:val="auto"/>
          <w:sz w:val="28"/>
          <w:szCs w:val="28"/>
        </w:rPr>
        <w:fldChar w:fldCharType="begin"/>
      </w:r>
      <w:r>
        <w:rPr>
          <w:color w:val="auto"/>
          <w:sz w:val="28"/>
          <w:szCs w:val="28"/>
        </w:rPr>
        <w:instrText xml:space="preserve"> PAGEREF _Toc177654481 \h </w:instrText>
      </w:r>
      <w:r>
        <w:rPr>
          <w:rFonts w:hint="eastAsia"/>
          <w:color w:val="auto"/>
          <w:sz w:val="28"/>
          <w:szCs w:val="28"/>
        </w:rPr>
        <w:fldChar w:fldCharType="separate"/>
      </w:r>
      <w:r>
        <w:rPr>
          <w:color w:val="auto"/>
          <w:sz w:val="28"/>
          <w:szCs w:val="28"/>
        </w:rPr>
        <w:t>9</w:t>
      </w:r>
      <w:r>
        <w:rPr>
          <w:rFonts w:hint="eastAsia"/>
          <w:color w:val="auto"/>
          <w:sz w:val="28"/>
          <w:szCs w:val="28"/>
        </w:rPr>
        <w:fldChar w:fldCharType="end"/>
      </w:r>
      <w:r>
        <w:rPr>
          <w:rFonts w:hint="eastAsia"/>
          <w:color w:val="auto"/>
          <w:sz w:val="28"/>
          <w:szCs w:val="28"/>
        </w:rPr>
        <w:fldChar w:fldCharType="end"/>
      </w:r>
    </w:p>
    <w:p>
      <w:pPr>
        <w:pStyle w:val="19"/>
        <w:rPr>
          <w:rFonts w:hint="eastAsia" w:asciiTheme="minorHAnsi" w:hAnsiTheme="minorHAnsi" w:eastAsiaTheme="minorEastAsia" w:cstheme="minorBidi"/>
          <w:color w:val="auto"/>
          <w:sz w:val="28"/>
          <w:szCs w:val="28"/>
          <w14:ligatures w14:val="standardContextual"/>
        </w:rPr>
      </w:pPr>
      <w:r>
        <w:rPr>
          <w:color w:val="auto"/>
        </w:rPr>
        <w:fldChar w:fldCharType="begin"/>
      </w:r>
      <w:r>
        <w:rPr>
          <w:color w:val="auto"/>
        </w:rPr>
        <w:instrText xml:space="preserve"> HYPERLINK \l "_Toc177654482" </w:instrText>
      </w:r>
      <w:r>
        <w:rPr>
          <w:color w:val="auto"/>
        </w:rPr>
        <w:fldChar w:fldCharType="separate"/>
      </w:r>
      <w:r>
        <w:rPr>
          <w:rStyle w:val="25"/>
          <w:rFonts w:hint="eastAsia" w:ascii="楷体_GB2312" w:hAnsi="楷体_GB2312" w:eastAsia="楷体_GB2312" w:cs="楷体_GB2312"/>
          <w:color w:val="auto"/>
          <w:sz w:val="28"/>
          <w:szCs w:val="28"/>
        </w:rPr>
        <w:t>（二）基本原则</w:t>
      </w:r>
      <w:r>
        <w:rPr>
          <w:color w:val="auto"/>
          <w:sz w:val="28"/>
          <w:szCs w:val="28"/>
        </w:rPr>
        <w:tab/>
      </w:r>
      <w:r>
        <w:rPr>
          <w:rFonts w:hint="eastAsia"/>
          <w:color w:val="auto"/>
          <w:sz w:val="28"/>
          <w:szCs w:val="28"/>
        </w:rPr>
        <w:fldChar w:fldCharType="begin"/>
      </w:r>
      <w:r>
        <w:rPr>
          <w:color w:val="auto"/>
          <w:sz w:val="28"/>
          <w:szCs w:val="28"/>
        </w:rPr>
        <w:instrText xml:space="preserve"> PAGEREF _Toc177654482 \h </w:instrText>
      </w:r>
      <w:r>
        <w:rPr>
          <w:rFonts w:hint="eastAsia"/>
          <w:color w:val="auto"/>
          <w:sz w:val="28"/>
          <w:szCs w:val="28"/>
        </w:rPr>
        <w:fldChar w:fldCharType="separate"/>
      </w:r>
      <w:r>
        <w:rPr>
          <w:color w:val="auto"/>
          <w:sz w:val="28"/>
          <w:szCs w:val="28"/>
        </w:rPr>
        <w:t>10</w:t>
      </w:r>
      <w:r>
        <w:rPr>
          <w:rFonts w:hint="eastAsia"/>
          <w:color w:val="auto"/>
          <w:sz w:val="28"/>
          <w:szCs w:val="28"/>
        </w:rPr>
        <w:fldChar w:fldCharType="end"/>
      </w:r>
      <w:r>
        <w:rPr>
          <w:rFonts w:hint="eastAsia"/>
          <w:color w:val="auto"/>
          <w:sz w:val="28"/>
          <w:szCs w:val="28"/>
        </w:rPr>
        <w:fldChar w:fldCharType="end"/>
      </w:r>
    </w:p>
    <w:p>
      <w:pPr>
        <w:pStyle w:val="19"/>
        <w:rPr>
          <w:rFonts w:hint="eastAsia" w:asciiTheme="minorHAnsi" w:hAnsiTheme="minorHAnsi" w:eastAsiaTheme="minorEastAsia" w:cstheme="minorBidi"/>
          <w:color w:val="auto"/>
          <w:sz w:val="28"/>
          <w:szCs w:val="28"/>
          <w14:ligatures w14:val="standardContextual"/>
        </w:rPr>
      </w:pPr>
      <w:r>
        <w:rPr>
          <w:color w:val="auto"/>
        </w:rPr>
        <w:fldChar w:fldCharType="begin"/>
      </w:r>
      <w:r>
        <w:rPr>
          <w:color w:val="auto"/>
        </w:rPr>
        <w:instrText xml:space="preserve"> HYPERLINK \l "_Toc177654483" </w:instrText>
      </w:r>
      <w:r>
        <w:rPr>
          <w:color w:val="auto"/>
        </w:rPr>
        <w:fldChar w:fldCharType="separate"/>
      </w:r>
      <w:r>
        <w:rPr>
          <w:rStyle w:val="25"/>
          <w:rFonts w:hint="eastAsia" w:ascii="楷体_GB2312" w:hAnsi="楷体_GB2312" w:eastAsia="楷体_GB2312" w:cs="楷体_GB2312"/>
          <w:color w:val="auto"/>
          <w:sz w:val="28"/>
          <w:szCs w:val="28"/>
        </w:rPr>
        <w:t>（三）发展战略</w:t>
      </w:r>
      <w:r>
        <w:rPr>
          <w:color w:val="auto"/>
          <w:sz w:val="28"/>
          <w:szCs w:val="28"/>
        </w:rPr>
        <w:tab/>
      </w:r>
      <w:r>
        <w:rPr>
          <w:rFonts w:hint="eastAsia"/>
          <w:color w:val="auto"/>
          <w:sz w:val="28"/>
          <w:szCs w:val="28"/>
        </w:rPr>
        <w:fldChar w:fldCharType="begin"/>
      </w:r>
      <w:r>
        <w:rPr>
          <w:color w:val="auto"/>
          <w:sz w:val="28"/>
          <w:szCs w:val="28"/>
        </w:rPr>
        <w:instrText xml:space="preserve"> PAGEREF _Toc177654483 \h </w:instrText>
      </w:r>
      <w:r>
        <w:rPr>
          <w:rFonts w:hint="eastAsia"/>
          <w:color w:val="auto"/>
          <w:sz w:val="28"/>
          <w:szCs w:val="28"/>
        </w:rPr>
        <w:fldChar w:fldCharType="separate"/>
      </w:r>
      <w:r>
        <w:rPr>
          <w:color w:val="auto"/>
          <w:sz w:val="28"/>
          <w:szCs w:val="28"/>
        </w:rPr>
        <w:t>11</w:t>
      </w:r>
      <w:r>
        <w:rPr>
          <w:rFonts w:hint="eastAsia"/>
          <w:color w:val="auto"/>
          <w:sz w:val="28"/>
          <w:szCs w:val="28"/>
        </w:rPr>
        <w:fldChar w:fldCharType="end"/>
      </w:r>
      <w:r>
        <w:rPr>
          <w:rFonts w:hint="eastAsia"/>
          <w:color w:val="auto"/>
          <w:sz w:val="28"/>
          <w:szCs w:val="28"/>
        </w:rPr>
        <w:fldChar w:fldCharType="end"/>
      </w:r>
    </w:p>
    <w:p>
      <w:pPr>
        <w:pStyle w:val="19"/>
        <w:rPr>
          <w:rFonts w:hint="eastAsia" w:asciiTheme="minorHAnsi" w:hAnsiTheme="minorHAnsi" w:eastAsiaTheme="minorEastAsia" w:cstheme="minorBidi"/>
          <w:color w:val="auto"/>
          <w:sz w:val="28"/>
          <w:szCs w:val="28"/>
          <w14:ligatures w14:val="standardContextual"/>
        </w:rPr>
      </w:pPr>
      <w:r>
        <w:rPr>
          <w:color w:val="auto"/>
        </w:rPr>
        <w:fldChar w:fldCharType="begin"/>
      </w:r>
      <w:r>
        <w:rPr>
          <w:color w:val="auto"/>
        </w:rPr>
        <w:instrText xml:space="preserve"> HYPERLINK \l "_Toc177654484" </w:instrText>
      </w:r>
      <w:r>
        <w:rPr>
          <w:color w:val="auto"/>
        </w:rPr>
        <w:fldChar w:fldCharType="separate"/>
      </w:r>
      <w:r>
        <w:rPr>
          <w:rStyle w:val="25"/>
          <w:rFonts w:hint="eastAsia" w:ascii="楷体_GB2312" w:hAnsi="楷体_GB2312" w:eastAsia="楷体_GB2312" w:cs="楷体_GB2312"/>
          <w:color w:val="auto"/>
          <w:sz w:val="28"/>
          <w:szCs w:val="28"/>
        </w:rPr>
        <w:t>（四）发展目标</w:t>
      </w:r>
      <w:r>
        <w:rPr>
          <w:color w:val="auto"/>
          <w:sz w:val="28"/>
          <w:szCs w:val="28"/>
        </w:rPr>
        <w:tab/>
      </w:r>
      <w:r>
        <w:rPr>
          <w:rFonts w:hint="eastAsia"/>
          <w:color w:val="auto"/>
          <w:sz w:val="28"/>
          <w:szCs w:val="28"/>
        </w:rPr>
        <w:fldChar w:fldCharType="begin"/>
      </w:r>
      <w:r>
        <w:rPr>
          <w:color w:val="auto"/>
          <w:sz w:val="28"/>
          <w:szCs w:val="28"/>
        </w:rPr>
        <w:instrText xml:space="preserve"> PAGEREF _Toc177654484 \h </w:instrText>
      </w:r>
      <w:r>
        <w:rPr>
          <w:rFonts w:hint="eastAsia"/>
          <w:color w:val="auto"/>
          <w:sz w:val="28"/>
          <w:szCs w:val="28"/>
        </w:rPr>
        <w:fldChar w:fldCharType="separate"/>
      </w:r>
      <w:r>
        <w:rPr>
          <w:color w:val="auto"/>
          <w:sz w:val="28"/>
          <w:szCs w:val="28"/>
        </w:rPr>
        <w:t>11</w:t>
      </w:r>
      <w:r>
        <w:rPr>
          <w:rFonts w:hint="eastAsia"/>
          <w:color w:val="auto"/>
          <w:sz w:val="28"/>
          <w:szCs w:val="28"/>
        </w:rPr>
        <w:fldChar w:fldCharType="end"/>
      </w:r>
      <w:r>
        <w:rPr>
          <w:rFonts w:hint="eastAsia"/>
          <w:color w:val="auto"/>
          <w:sz w:val="28"/>
          <w:szCs w:val="28"/>
        </w:rPr>
        <w:fldChar w:fldCharType="end"/>
      </w:r>
    </w:p>
    <w:p>
      <w:pPr>
        <w:pStyle w:val="16"/>
        <w:rPr>
          <w:rFonts w:hint="eastAsia" w:asciiTheme="minorHAnsi" w:hAnsiTheme="minorHAnsi" w:eastAsiaTheme="minorEastAsia" w:cstheme="minorBidi"/>
          <w:color w:val="auto"/>
          <w:kern w:val="2"/>
          <w:sz w:val="28"/>
          <w:szCs w:val="28"/>
          <w14:ligatures w14:val="standardContextual"/>
        </w:rPr>
      </w:pPr>
      <w:r>
        <w:rPr>
          <w:color w:val="auto"/>
        </w:rPr>
        <w:fldChar w:fldCharType="begin"/>
      </w:r>
      <w:r>
        <w:rPr>
          <w:color w:val="auto"/>
        </w:rPr>
        <w:instrText xml:space="preserve"> HYPERLINK \l "_Toc177654485" </w:instrText>
      </w:r>
      <w:r>
        <w:rPr>
          <w:color w:val="auto"/>
        </w:rPr>
        <w:fldChar w:fldCharType="separate"/>
      </w:r>
      <w:r>
        <w:rPr>
          <w:rStyle w:val="25"/>
          <w:rFonts w:hint="eastAsia"/>
          <w:color w:val="auto"/>
          <w:sz w:val="28"/>
          <w:szCs w:val="28"/>
        </w:rPr>
        <w:t>三、主要任务和重点工程</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PAGEREF _Toc177654485 \h </w:instrText>
      </w:r>
      <w:r>
        <w:rPr>
          <w:rFonts w:hint="eastAsia"/>
          <w:color w:val="auto"/>
          <w:sz w:val="28"/>
          <w:szCs w:val="28"/>
        </w:rPr>
        <w:fldChar w:fldCharType="separate"/>
      </w:r>
      <w:r>
        <w:rPr>
          <w:rFonts w:hint="eastAsia"/>
          <w:color w:val="auto"/>
          <w:sz w:val="28"/>
          <w:szCs w:val="28"/>
        </w:rPr>
        <w:t>13</w:t>
      </w:r>
      <w:r>
        <w:rPr>
          <w:rFonts w:hint="eastAsia"/>
          <w:color w:val="auto"/>
          <w:sz w:val="28"/>
          <w:szCs w:val="28"/>
        </w:rPr>
        <w:fldChar w:fldCharType="end"/>
      </w:r>
      <w:r>
        <w:rPr>
          <w:rFonts w:hint="eastAsia"/>
          <w:color w:val="auto"/>
          <w:sz w:val="28"/>
          <w:szCs w:val="28"/>
        </w:rPr>
        <w:fldChar w:fldCharType="end"/>
      </w:r>
    </w:p>
    <w:p>
      <w:pPr>
        <w:pStyle w:val="19"/>
        <w:rPr>
          <w:rFonts w:hint="eastAsia" w:asciiTheme="minorHAnsi" w:hAnsiTheme="minorHAnsi" w:eastAsiaTheme="minorEastAsia" w:cstheme="minorBidi"/>
          <w:color w:val="auto"/>
          <w:sz w:val="28"/>
          <w:szCs w:val="28"/>
          <w14:ligatures w14:val="standardContextual"/>
        </w:rPr>
      </w:pPr>
      <w:r>
        <w:rPr>
          <w:color w:val="auto"/>
        </w:rPr>
        <w:fldChar w:fldCharType="begin"/>
      </w:r>
      <w:r>
        <w:rPr>
          <w:color w:val="auto"/>
        </w:rPr>
        <w:instrText xml:space="preserve"> HYPERLINK \l "_Toc177654486" </w:instrText>
      </w:r>
      <w:r>
        <w:rPr>
          <w:color w:val="auto"/>
        </w:rPr>
        <w:fldChar w:fldCharType="separate"/>
      </w:r>
      <w:r>
        <w:rPr>
          <w:rStyle w:val="25"/>
          <w:rFonts w:hint="eastAsia" w:ascii="楷体_GB2312" w:hAnsi="楷体_GB2312" w:eastAsia="楷体_GB2312" w:cs="楷体_GB2312"/>
          <w:color w:val="auto"/>
          <w:sz w:val="28"/>
          <w:szCs w:val="28"/>
        </w:rPr>
        <w:t>（一）着重发展内容产业，夯实视听产业发展根基</w:t>
      </w:r>
      <w:r>
        <w:rPr>
          <w:color w:val="auto"/>
          <w:sz w:val="28"/>
          <w:szCs w:val="28"/>
        </w:rPr>
        <w:tab/>
      </w:r>
      <w:r>
        <w:rPr>
          <w:rFonts w:hint="eastAsia"/>
          <w:color w:val="auto"/>
          <w:sz w:val="28"/>
          <w:szCs w:val="28"/>
        </w:rPr>
        <w:fldChar w:fldCharType="begin"/>
      </w:r>
      <w:r>
        <w:rPr>
          <w:color w:val="auto"/>
          <w:sz w:val="28"/>
          <w:szCs w:val="28"/>
        </w:rPr>
        <w:instrText xml:space="preserve"> PAGEREF _Toc177654486 \h </w:instrText>
      </w:r>
      <w:r>
        <w:rPr>
          <w:rFonts w:hint="eastAsia"/>
          <w:color w:val="auto"/>
          <w:sz w:val="28"/>
          <w:szCs w:val="28"/>
        </w:rPr>
        <w:fldChar w:fldCharType="separate"/>
      </w:r>
      <w:r>
        <w:rPr>
          <w:color w:val="auto"/>
          <w:sz w:val="28"/>
          <w:szCs w:val="28"/>
        </w:rPr>
        <w:t>13</w:t>
      </w:r>
      <w:r>
        <w:rPr>
          <w:rFonts w:hint="eastAsia"/>
          <w:color w:val="auto"/>
          <w:sz w:val="28"/>
          <w:szCs w:val="28"/>
        </w:rPr>
        <w:fldChar w:fldCharType="end"/>
      </w:r>
      <w:r>
        <w:rPr>
          <w:rFonts w:hint="eastAsia"/>
          <w:color w:val="auto"/>
          <w:sz w:val="28"/>
          <w:szCs w:val="28"/>
        </w:rPr>
        <w:fldChar w:fldCharType="end"/>
      </w:r>
    </w:p>
    <w:p>
      <w:pPr>
        <w:pStyle w:val="19"/>
        <w:rPr>
          <w:rFonts w:hint="eastAsia" w:asciiTheme="minorHAnsi" w:hAnsiTheme="minorHAnsi" w:eastAsiaTheme="minorEastAsia" w:cstheme="minorBidi"/>
          <w:color w:val="auto"/>
          <w:sz w:val="28"/>
          <w:szCs w:val="28"/>
          <w14:ligatures w14:val="standardContextual"/>
        </w:rPr>
      </w:pPr>
      <w:r>
        <w:rPr>
          <w:color w:val="auto"/>
        </w:rPr>
        <w:fldChar w:fldCharType="begin"/>
      </w:r>
      <w:r>
        <w:rPr>
          <w:color w:val="auto"/>
        </w:rPr>
        <w:instrText xml:space="preserve"> HYPERLINK \l "_Toc177654487" </w:instrText>
      </w:r>
      <w:r>
        <w:rPr>
          <w:color w:val="auto"/>
        </w:rPr>
        <w:fldChar w:fldCharType="separate"/>
      </w:r>
      <w:r>
        <w:rPr>
          <w:rStyle w:val="25"/>
          <w:rFonts w:hint="eastAsia" w:ascii="楷体_GB2312" w:hAnsi="楷体_GB2312" w:eastAsia="楷体_GB2312" w:cs="楷体_GB2312"/>
          <w:color w:val="auto"/>
          <w:sz w:val="28"/>
          <w:szCs w:val="28"/>
        </w:rPr>
        <w:t>（二）坚持技术创新驱动，塑造发展新优势新动能</w:t>
      </w:r>
      <w:r>
        <w:rPr>
          <w:color w:val="auto"/>
          <w:sz w:val="28"/>
          <w:szCs w:val="28"/>
        </w:rPr>
        <w:tab/>
      </w:r>
      <w:r>
        <w:rPr>
          <w:rFonts w:hint="eastAsia"/>
          <w:color w:val="auto"/>
          <w:sz w:val="28"/>
          <w:szCs w:val="28"/>
        </w:rPr>
        <w:fldChar w:fldCharType="begin"/>
      </w:r>
      <w:r>
        <w:rPr>
          <w:color w:val="auto"/>
          <w:sz w:val="28"/>
          <w:szCs w:val="28"/>
        </w:rPr>
        <w:instrText xml:space="preserve"> PAGEREF _Toc177654487 \h </w:instrText>
      </w:r>
      <w:r>
        <w:rPr>
          <w:rFonts w:hint="eastAsia"/>
          <w:color w:val="auto"/>
          <w:sz w:val="28"/>
          <w:szCs w:val="28"/>
        </w:rPr>
        <w:fldChar w:fldCharType="separate"/>
      </w:r>
      <w:r>
        <w:rPr>
          <w:color w:val="auto"/>
          <w:sz w:val="28"/>
          <w:szCs w:val="28"/>
        </w:rPr>
        <w:t>16</w:t>
      </w:r>
      <w:r>
        <w:rPr>
          <w:rFonts w:hint="eastAsia"/>
          <w:color w:val="auto"/>
          <w:sz w:val="28"/>
          <w:szCs w:val="28"/>
        </w:rPr>
        <w:fldChar w:fldCharType="end"/>
      </w:r>
      <w:r>
        <w:rPr>
          <w:rFonts w:hint="eastAsia"/>
          <w:color w:val="auto"/>
          <w:sz w:val="28"/>
          <w:szCs w:val="28"/>
        </w:rPr>
        <w:fldChar w:fldCharType="end"/>
      </w:r>
    </w:p>
    <w:p>
      <w:pPr>
        <w:pStyle w:val="19"/>
        <w:rPr>
          <w:rFonts w:hint="eastAsia" w:asciiTheme="minorHAnsi" w:hAnsiTheme="minorHAnsi" w:eastAsiaTheme="minorEastAsia" w:cstheme="minorBidi"/>
          <w:color w:val="auto"/>
          <w:sz w:val="28"/>
          <w:szCs w:val="28"/>
          <w14:ligatures w14:val="standardContextual"/>
        </w:rPr>
      </w:pPr>
      <w:r>
        <w:rPr>
          <w:color w:val="auto"/>
        </w:rPr>
        <w:fldChar w:fldCharType="begin"/>
      </w:r>
      <w:r>
        <w:rPr>
          <w:color w:val="auto"/>
        </w:rPr>
        <w:instrText xml:space="preserve"> HYPERLINK \l "_Toc177654488" </w:instrText>
      </w:r>
      <w:r>
        <w:rPr>
          <w:color w:val="auto"/>
        </w:rPr>
        <w:fldChar w:fldCharType="separate"/>
      </w:r>
      <w:r>
        <w:rPr>
          <w:rStyle w:val="25"/>
          <w:rFonts w:hint="eastAsia" w:ascii="楷体_GB2312" w:hAnsi="楷体_GB2312" w:eastAsia="楷体_GB2312" w:cs="楷体_GB2312"/>
          <w:color w:val="auto"/>
          <w:sz w:val="28"/>
          <w:szCs w:val="28"/>
        </w:rPr>
        <w:t>（三）加快“视听+”融合创新，孵化视听新场景新业态</w:t>
      </w:r>
      <w:r>
        <w:rPr>
          <w:color w:val="auto"/>
          <w:sz w:val="28"/>
          <w:szCs w:val="28"/>
        </w:rPr>
        <w:tab/>
      </w:r>
      <w:r>
        <w:rPr>
          <w:rFonts w:hint="eastAsia"/>
          <w:color w:val="auto"/>
          <w:sz w:val="28"/>
          <w:szCs w:val="28"/>
        </w:rPr>
        <w:fldChar w:fldCharType="begin"/>
      </w:r>
      <w:r>
        <w:rPr>
          <w:color w:val="auto"/>
          <w:sz w:val="28"/>
          <w:szCs w:val="28"/>
        </w:rPr>
        <w:instrText xml:space="preserve"> PAGEREF _Toc177654488 \h </w:instrText>
      </w:r>
      <w:r>
        <w:rPr>
          <w:rFonts w:hint="eastAsia"/>
          <w:color w:val="auto"/>
          <w:sz w:val="28"/>
          <w:szCs w:val="28"/>
        </w:rPr>
        <w:fldChar w:fldCharType="separate"/>
      </w:r>
      <w:r>
        <w:rPr>
          <w:color w:val="auto"/>
          <w:sz w:val="28"/>
          <w:szCs w:val="28"/>
        </w:rPr>
        <w:t>20</w:t>
      </w:r>
      <w:r>
        <w:rPr>
          <w:rFonts w:hint="eastAsia"/>
          <w:color w:val="auto"/>
          <w:sz w:val="28"/>
          <w:szCs w:val="28"/>
        </w:rPr>
        <w:fldChar w:fldCharType="end"/>
      </w:r>
      <w:r>
        <w:rPr>
          <w:rFonts w:hint="eastAsia"/>
          <w:color w:val="auto"/>
          <w:sz w:val="28"/>
          <w:szCs w:val="28"/>
        </w:rPr>
        <w:fldChar w:fldCharType="end"/>
      </w:r>
    </w:p>
    <w:p>
      <w:pPr>
        <w:pStyle w:val="19"/>
        <w:rPr>
          <w:rFonts w:hint="eastAsia" w:asciiTheme="minorHAnsi" w:hAnsiTheme="minorHAnsi" w:eastAsiaTheme="minorEastAsia" w:cstheme="minorBidi"/>
          <w:color w:val="auto"/>
          <w:sz w:val="28"/>
          <w:szCs w:val="28"/>
          <w14:ligatures w14:val="standardContextual"/>
        </w:rPr>
      </w:pPr>
      <w:r>
        <w:rPr>
          <w:color w:val="auto"/>
        </w:rPr>
        <w:fldChar w:fldCharType="begin"/>
      </w:r>
      <w:r>
        <w:rPr>
          <w:color w:val="auto"/>
        </w:rPr>
        <w:instrText xml:space="preserve"> HYPERLINK \l "_Toc177654489" </w:instrText>
      </w:r>
      <w:r>
        <w:rPr>
          <w:color w:val="auto"/>
        </w:rPr>
        <w:fldChar w:fldCharType="separate"/>
      </w:r>
      <w:r>
        <w:rPr>
          <w:rStyle w:val="25"/>
          <w:rFonts w:hint="eastAsia" w:ascii="楷体_GB2312" w:hAnsi="楷体_GB2312" w:eastAsia="楷体_GB2312" w:cs="楷体_GB2312"/>
          <w:color w:val="auto"/>
          <w:sz w:val="28"/>
          <w:szCs w:val="28"/>
        </w:rPr>
        <w:t>（四）发挥产业集聚效应，培育打造优质产业集群</w:t>
      </w:r>
      <w:r>
        <w:rPr>
          <w:color w:val="auto"/>
          <w:sz w:val="28"/>
          <w:szCs w:val="28"/>
        </w:rPr>
        <w:tab/>
      </w:r>
      <w:r>
        <w:rPr>
          <w:rFonts w:hint="eastAsia"/>
          <w:color w:val="auto"/>
          <w:sz w:val="28"/>
          <w:szCs w:val="28"/>
        </w:rPr>
        <w:fldChar w:fldCharType="begin"/>
      </w:r>
      <w:r>
        <w:rPr>
          <w:color w:val="auto"/>
          <w:sz w:val="28"/>
          <w:szCs w:val="28"/>
        </w:rPr>
        <w:instrText xml:space="preserve"> PAGEREF _Toc177654489 \h </w:instrText>
      </w:r>
      <w:r>
        <w:rPr>
          <w:rFonts w:hint="eastAsia"/>
          <w:color w:val="auto"/>
          <w:sz w:val="28"/>
          <w:szCs w:val="28"/>
        </w:rPr>
        <w:fldChar w:fldCharType="separate"/>
      </w:r>
      <w:r>
        <w:rPr>
          <w:color w:val="auto"/>
          <w:sz w:val="28"/>
          <w:szCs w:val="28"/>
        </w:rPr>
        <w:t>23</w:t>
      </w:r>
      <w:r>
        <w:rPr>
          <w:rFonts w:hint="eastAsia"/>
          <w:color w:val="auto"/>
          <w:sz w:val="28"/>
          <w:szCs w:val="28"/>
        </w:rPr>
        <w:fldChar w:fldCharType="end"/>
      </w:r>
      <w:r>
        <w:rPr>
          <w:rFonts w:hint="eastAsia"/>
          <w:color w:val="auto"/>
          <w:sz w:val="28"/>
          <w:szCs w:val="28"/>
        </w:rPr>
        <w:fldChar w:fldCharType="end"/>
      </w:r>
    </w:p>
    <w:p>
      <w:pPr>
        <w:pStyle w:val="19"/>
        <w:rPr>
          <w:rFonts w:hint="eastAsia" w:asciiTheme="minorHAnsi" w:hAnsiTheme="minorHAnsi" w:eastAsiaTheme="minorEastAsia" w:cstheme="minorBidi"/>
          <w:color w:val="auto"/>
          <w:sz w:val="28"/>
          <w:szCs w:val="28"/>
          <w14:ligatures w14:val="standardContextual"/>
        </w:rPr>
      </w:pPr>
      <w:r>
        <w:rPr>
          <w:color w:val="auto"/>
        </w:rPr>
        <w:fldChar w:fldCharType="begin"/>
      </w:r>
      <w:r>
        <w:rPr>
          <w:color w:val="auto"/>
        </w:rPr>
        <w:instrText xml:space="preserve"> HYPERLINK \l "_Toc177654490" </w:instrText>
      </w:r>
      <w:r>
        <w:rPr>
          <w:color w:val="auto"/>
        </w:rPr>
        <w:fldChar w:fldCharType="separate"/>
      </w:r>
      <w:r>
        <w:rPr>
          <w:rStyle w:val="25"/>
          <w:rFonts w:hint="eastAsia" w:ascii="楷体_GB2312" w:hAnsi="楷体_GB2312" w:eastAsia="楷体_GB2312" w:cs="楷体_GB2312"/>
          <w:color w:val="auto"/>
          <w:sz w:val="28"/>
          <w:szCs w:val="28"/>
        </w:rPr>
        <w:t>（五）提升国际传播能力，打造区域传播辐射中心</w:t>
      </w:r>
      <w:r>
        <w:rPr>
          <w:color w:val="auto"/>
          <w:sz w:val="28"/>
          <w:szCs w:val="28"/>
        </w:rPr>
        <w:tab/>
      </w:r>
      <w:r>
        <w:rPr>
          <w:rFonts w:hint="eastAsia"/>
          <w:color w:val="auto"/>
          <w:sz w:val="28"/>
          <w:szCs w:val="28"/>
        </w:rPr>
        <w:fldChar w:fldCharType="begin"/>
      </w:r>
      <w:r>
        <w:rPr>
          <w:color w:val="auto"/>
          <w:sz w:val="28"/>
          <w:szCs w:val="28"/>
        </w:rPr>
        <w:instrText xml:space="preserve"> PAGEREF _Toc177654490 \h </w:instrText>
      </w:r>
      <w:r>
        <w:rPr>
          <w:rFonts w:hint="eastAsia"/>
          <w:color w:val="auto"/>
          <w:sz w:val="28"/>
          <w:szCs w:val="28"/>
        </w:rPr>
        <w:fldChar w:fldCharType="separate"/>
      </w:r>
      <w:r>
        <w:rPr>
          <w:color w:val="auto"/>
          <w:sz w:val="28"/>
          <w:szCs w:val="28"/>
        </w:rPr>
        <w:t>26</w:t>
      </w:r>
      <w:r>
        <w:rPr>
          <w:rFonts w:hint="eastAsia"/>
          <w:color w:val="auto"/>
          <w:sz w:val="28"/>
          <w:szCs w:val="28"/>
        </w:rPr>
        <w:fldChar w:fldCharType="end"/>
      </w:r>
      <w:r>
        <w:rPr>
          <w:rFonts w:hint="eastAsia"/>
          <w:color w:val="auto"/>
          <w:sz w:val="28"/>
          <w:szCs w:val="28"/>
        </w:rPr>
        <w:fldChar w:fldCharType="end"/>
      </w:r>
    </w:p>
    <w:p>
      <w:pPr>
        <w:pStyle w:val="16"/>
        <w:rPr>
          <w:rFonts w:hint="eastAsia" w:asciiTheme="minorHAnsi" w:hAnsiTheme="minorHAnsi" w:eastAsiaTheme="minorEastAsia" w:cstheme="minorBidi"/>
          <w:color w:val="auto"/>
          <w:kern w:val="2"/>
          <w:sz w:val="28"/>
          <w:szCs w:val="28"/>
          <w14:ligatures w14:val="standardContextual"/>
        </w:rPr>
      </w:pPr>
      <w:r>
        <w:rPr>
          <w:color w:val="auto"/>
        </w:rPr>
        <w:fldChar w:fldCharType="begin"/>
      </w:r>
      <w:r>
        <w:rPr>
          <w:color w:val="auto"/>
        </w:rPr>
        <w:instrText xml:space="preserve"> HYPERLINK \l "_Toc177654491" </w:instrText>
      </w:r>
      <w:r>
        <w:rPr>
          <w:color w:val="auto"/>
        </w:rPr>
        <w:fldChar w:fldCharType="separate"/>
      </w:r>
      <w:r>
        <w:rPr>
          <w:rStyle w:val="25"/>
          <w:rFonts w:hint="eastAsia"/>
          <w:color w:val="auto"/>
          <w:sz w:val="28"/>
          <w:szCs w:val="28"/>
        </w:rPr>
        <w:t>四、保障措施</w:t>
      </w:r>
      <w:r>
        <w:rPr>
          <w:rFonts w:hint="eastAsia"/>
          <w:color w:val="auto"/>
          <w:sz w:val="28"/>
          <w:szCs w:val="28"/>
        </w:rPr>
        <w:tab/>
      </w:r>
      <w:r>
        <w:rPr>
          <w:rFonts w:hint="eastAsia"/>
          <w:color w:val="auto"/>
          <w:sz w:val="28"/>
          <w:szCs w:val="28"/>
        </w:rPr>
        <w:fldChar w:fldCharType="begin"/>
      </w:r>
      <w:r>
        <w:rPr>
          <w:rFonts w:hint="eastAsia"/>
          <w:color w:val="auto"/>
          <w:sz w:val="28"/>
          <w:szCs w:val="28"/>
        </w:rPr>
        <w:instrText xml:space="preserve"> PAGEREF _Toc177654491 \h </w:instrText>
      </w:r>
      <w:r>
        <w:rPr>
          <w:rFonts w:hint="eastAsia"/>
          <w:color w:val="auto"/>
          <w:sz w:val="28"/>
          <w:szCs w:val="28"/>
        </w:rPr>
        <w:fldChar w:fldCharType="separate"/>
      </w:r>
      <w:r>
        <w:rPr>
          <w:rFonts w:hint="eastAsia"/>
          <w:color w:val="auto"/>
          <w:sz w:val="28"/>
          <w:szCs w:val="28"/>
        </w:rPr>
        <w:t>28</w:t>
      </w:r>
      <w:r>
        <w:rPr>
          <w:rFonts w:hint="eastAsia"/>
          <w:color w:val="auto"/>
          <w:sz w:val="28"/>
          <w:szCs w:val="28"/>
        </w:rPr>
        <w:fldChar w:fldCharType="end"/>
      </w:r>
      <w:r>
        <w:rPr>
          <w:rFonts w:hint="eastAsia"/>
          <w:color w:val="auto"/>
          <w:sz w:val="28"/>
          <w:szCs w:val="28"/>
        </w:rPr>
        <w:fldChar w:fldCharType="end"/>
      </w:r>
    </w:p>
    <w:p>
      <w:pPr>
        <w:pStyle w:val="19"/>
        <w:rPr>
          <w:rFonts w:hint="eastAsia" w:asciiTheme="minorHAnsi" w:hAnsiTheme="minorHAnsi" w:eastAsiaTheme="minorEastAsia" w:cstheme="minorBidi"/>
          <w:color w:val="auto"/>
          <w:sz w:val="28"/>
          <w:szCs w:val="28"/>
          <w14:ligatures w14:val="standardContextual"/>
        </w:rPr>
      </w:pPr>
      <w:r>
        <w:rPr>
          <w:color w:val="auto"/>
        </w:rPr>
        <w:fldChar w:fldCharType="begin"/>
      </w:r>
      <w:r>
        <w:rPr>
          <w:color w:val="auto"/>
        </w:rPr>
        <w:instrText xml:space="preserve"> HYPERLINK \l "_Toc177654492" </w:instrText>
      </w:r>
      <w:r>
        <w:rPr>
          <w:color w:val="auto"/>
        </w:rPr>
        <w:fldChar w:fldCharType="separate"/>
      </w:r>
      <w:r>
        <w:rPr>
          <w:rStyle w:val="25"/>
          <w:rFonts w:hint="eastAsia" w:ascii="楷体_GB2312" w:hAnsi="楷体_GB2312" w:eastAsia="楷体_GB2312" w:cs="楷体_GB2312"/>
          <w:color w:val="auto"/>
          <w:sz w:val="28"/>
          <w:szCs w:val="28"/>
        </w:rPr>
        <w:t>（一）加强组织保障</w:t>
      </w:r>
      <w:r>
        <w:rPr>
          <w:color w:val="auto"/>
          <w:sz w:val="28"/>
          <w:szCs w:val="28"/>
        </w:rPr>
        <w:tab/>
      </w:r>
      <w:r>
        <w:rPr>
          <w:rFonts w:hint="eastAsia"/>
          <w:color w:val="auto"/>
          <w:sz w:val="28"/>
          <w:szCs w:val="28"/>
        </w:rPr>
        <w:fldChar w:fldCharType="begin"/>
      </w:r>
      <w:r>
        <w:rPr>
          <w:color w:val="auto"/>
          <w:sz w:val="28"/>
          <w:szCs w:val="28"/>
        </w:rPr>
        <w:instrText xml:space="preserve"> PAGEREF _Toc177654492 \h </w:instrText>
      </w:r>
      <w:r>
        <w:rPr>
          <w:rFonts w:hint="eastAsia"/>
          <w:color w:val="auto"/>
          <w:sz w:val="28"/>
          <w:szCs w:val="28"/>
        </w:rPr>
        <w:fldChar w:fldCharType="separate"/>
      </w:r>
      <w:r>
        <w:rPr>
          <w:color w:val="auto"/>
          <w:sz w:val="28"/>
          <w:szCs w:val="28"/>
        </w:rPr>
        <w:t>28</w:t>
      </w:r>
      <w:r>
        <w:rPr>
          <w:rFonts w:hint="eastAsia"/>
          <w:color w:val="auto"/>
          <w:sz w:val="28"/>
          <w:szCs w:val="28"/>
        </w:rPr>
        <w:fldChar w:fldCharType="end"/>
      </w:r>
      <w:r>
        <w:rPr>
          <w:rFonts w:hint="eastAsia"/>
          <w:color w:val="auto"/>
          <w:sz w:val="28"/>
          <w:szCs w:val="28"/>
        </w:rPr>
        <w:fldChar w:fldCharType="end"/>
      </w:r>
    </w:p>
    <w:p>
      <w:pPr>
        <w:pStyle w:val="19"/>
        <w:rPr>
          <w:rFonts w:hint="eastAsia" w:asciiTheme="minorHAnsi" w:hAnsiTheme="minorHAnsi" w:eastAsiaTheme="minorEastAsia" w:cstheme="minorBidi"/>
          <w:color w:val="auto"/>
          <w:sz w:val="28"/>
          <w:szCs w:val="28"/>
          <w14:ligatures w14:val="standardContextual"/>
        </w:rPr>
      </w:pPr>
      <w:r>
        <w:rPr>
          <w:color w:val="auto"/>
        </w:rPr>
        <w:fldChar w:fldCharType="begin"/>
      </w:r>
      <w:r>
        <w:rPr>
          <w:color w:val="auto"/>
        </w:rPr>
        <w:instrText xml:space="preserve"> HYPERLINK \l "_Toc177654493" </w:instrText>
      </w:r>
      <w:r>
        <w:rPr>
          <w:color w:val="auto"/>
        </w:rPr>
        <w:fldChar w:fldCharType="separate"/>
      </w:r>
      <w:r>
        <w:rPr>
          <w:rStyle w:val="25"/>
          <w:rFonts w:hint="eastAsia" w:ascii="楷体_GB2312" w:hAnsi="楷体_GB2312" w:eastAsia="楷体_GB2312" w:cs="楷体_GB2312"/>
          <w:color w:val="auto"/>
          <w:sz w:val="28"/>
          <w:szCs w:val="28"/>
        </w:rPr>
        <w:t>（二）强化政策保障</w:t>
      </w:r>
      <w:r>
        <w:rPr>
          <w:color w:val="auto"/>
          <w:sz w:val="28"/>
          <w:szCs w:val="28"/>
        </w:rPr>
        <w:tab/>
      </w:r>
      <w:r>
        <w:rPr>
          <w:rFonts w:hint="eastAsia"/>
          <w:color w:val="auto"/>
          <w:sz w:val="28"/>
          <w:szCs w:val="28"/>
        </w:rPr>
        <w:fldChar w:fldCharType="begin"/>
      </w:r>
      <w:r>
        <w:rPr>
          <w:color w:val="auto"/>
          <w:sz w:val="28"/>
          <w:szCs w:val="28"/>
        </w:rPr>
        <w:instrText xml:space="preserve"> PAGEREF _Toc177654493 \h </w:instrText>
      </w:r>
      <w:r>
        <w:rPr>
          <w:rFonts w:hint="eastAsia"/>
          <w:color w:val="auto"/>
          <w:sz w:val="28"/>
          <w:szCs w:val="28"/>
        </w:rPr>
        <w:fldChar w:fldCharType="separate"/>
      </w:r>
      <w:r>
        <w:rPr>
          <w:color w:val="auto"/>
          <w:sz w:val="28"/>
          <w:szCs w:val="28"/>
        </w:rPr>
        <w:t>28</w:t>
      </w:r>
      <w:r>
        <w:rPr>
          <w:rFonts w:hint="eastAsia"/>
          <w:color w:val="auto"/>
          <w:sz w:val="28"/>
          <w:szCs w:val="28"/>
        </w:rPr>
        <w:fldChar w:fldCharType="end"/>
      </w:r>
      <w:r>
        <w:rPr>
          <w:rFonts w:hint="eastAsia"/>
          <w:color w:val="auto"/>
          <w:sz w:val="28"/>
          <w:szCs w:val="28"/>
        </w:rPr>
        <w:fldChar w:fldCharType="end"/>
      </w:r>
    </w:p>
    <w:p>
      <w:pPr>
        <w:pStyle w:val="19"/>
        <w:rPr>
          <w:rFonts w:hint="eastAsia" w:asciiTheme="minorHAnsi" w:hAnsiTheme="minorHAnsi" w:eastAsiaTheme="minorEastAsia" w:cstheme="minorBidi"/>
          <w:color w:val="auto"/>
          <w:sz w:val="28"/>
          <w:szCs w:val="28"/>
          <w14:ligatures w14:val="standardContextual"/>
        </w:rPr>
      </w:pPr>
      <w:r>
        <w:rPr>
          <w:color w:val="auto"/>
        </w:rPr>
        <w:fldChar w:fldCharType="begin"/>
      </w:r>
      <w:r>
        <w:rPr>
          <w:color w:val="auto"/>
        </w:rPr>
        <w:instrText xml:space="preserve"> HYPERLINK \l "_Toc177654494" </w:instrText>
      </w:r>
      <w:r>
        <w:rPr>
          <w:color w:val="auto"/>
        </w:rPr>
        <w:fldChar w:fldCharType="separate"/>
      </w:r>
      <w:r>
        <w:rPr>
          <w:rStyle w:val="25"/>
          <w:rFonts w:hint="eastAsia" w:ascii="楷体_GB2312" w:hAnsi="楷体_GB2312" w:eastAsia="楷体_GB2312" w:cs="楷体_GB2312"/>
          <w:color w:val="auto"/>
          <w:sz w:val="28"/>
          <w:szCs w:val="28"/>
        </w:rPr>
        <w:t>（三）加大资金扶持</w:t>
      </w:r>
      <w:r>
        <w:rPr>
          <w:color w:val="auto"/>
          <w:sz w:val="28"/>
          <w:szCs w:val="28"/>
        </w:rPr>
        <w:tab/>
      </w:r>
      <w:r>
        <w:rPr>
          <w:rFonts w:hint="eastAsia"/>
          <w:color w:val="auto"/>
          <w:sz w:val="28"/>
          <w:szCs w:val="28"/>
        </w:rPr>
        <w:fldChar w:fldCharType="begin"/>
      </w:r>
      <w:r>
        <w:rPr>
          <w:color w:val="auto"/>
          <w:sz w:val="28"/>
          <w:szCs w:val="28"/>
        </w:rPr>
        <w:instrText xml:space="preserve"> PAGEREF _Toc177654494 \h </w:instrText>
      </w:r>
      <w:r>
        <w:rPr>
          <w:rFonts w:hint="eastAsia"/>
          <w:color w:val="auto"/>
          <w:sz w:val="28"/>
          <w:szCs w:val="28"/>
        </w:rPr>
        <w:fldChar w:fldCharType="separate"/>
      </w:r>
      <w:r>
        <w:rPr>
          <w:color w:val="auto"/>
          <w:sz w:val="28"/>
          <w:szCs w:val="28"/>
        </w:rPr>
        <w:t>29</w:t>
      </w:r>
      <w:r>
        <w:rPr>
          <w:rFonts w:hint="eastAsia"/>
          <w:color w:val="auto"/>
          <w:sz w:val="28"/>
          <w:szCs w:val="28"/>
        </w:rPr>
        <w:fldChar w:fldCharType="end"/>
      </w:r>
      <w:r>
        <w:rPr>
          <w:rFonts w:hint="eastAsia"/>
          <w:color w:val="auto"/>
          <w:sz w:val="28"/>
          <w:szCs w:val="28"/>
        </w:rPr>
        <w:fldChar w:fldCharType="end"/>
      </w:r>
    </w:p>
    <w:p>
      <w:pPr>
        <w:pStyle w:val="19"/>
        <w:rPr>
          <w:rFonts w:hint="eastAsia" w:asciiTheme="minorHAnsi" w:hAnsiTheme="minorHAnsi" w:eastAsiaTheme="minorEastAsia" w:cstheme="minorBidi"/>
          <w:color w:val="auto"/>
          <w:sz w:val="28"/>
          <w:szCs w:val="28"/>
          <w14:ligatures w14:val="standardContextual"/>
        </w:rPr>
      </w:pPr>
      <w:r>
        <w:rPr>
          <w:color w:val="auto"/>
        </w:rPr>
        <w:fldChar w:fldCharType="begin"/>
      </w:r>
      <w:r>
        <w:rPr>
          <w:color w:val="auto"/>
        </w:rPr>
        <w:instrText xml:space="preserve"> HYPERLINK \l "_Toc177654495" </w:instrText>
      </w:r>
      <w:r>
        <w:rPr>
          <w:color w:val="auto"/>
        </w:rPr>
        <w:fldChar w:fldCharType="separate"/>
      </w:r>
      <w:r>
        <w:rPr>
          <w:rStyle w:val="25"/>
          <w:rFonts w:hint="eastAsia" w:ascii="楷体_GB2312" w:hAnsi="楷体_GB2312" w:eastAsia="楷体_GB2312" w:cs="楷体_GB2312"/>
          <w:color w:val="auto"/>
          <w:sz w:val="28"/>
          <w:szCs w:val="28"/>
        </w:rPr>
        <w:t>（四）引培高端人才</w:t>
      </w:r>
      <w:r>
        <w:rPr>
          <w:color w:val="auto"/>
          <w:sz w:val="28"/>
          <w:szCs w:val="28"/>
        </w:rPr>
        <w:tab/>
      </w:r>
      <w:r>
        <w:rPr>
          <w:rFonts w:hint="eastAsia"/>
          <w:color w:val="auto"/>
          <w:sz w:val="28"/>
          <w:szCs w:val="28"/>
        </w:rPr>
        <w:fldChar w:fldCharType="begin"/>
      </w:r>
      <w:r>
        <w:rPr>
          <w:color w:val="auto"/>
          <w:sz w:val="28"/>
          <w:szCs w:val="28"/>
        </w:rPr>
        <w:instrText xml:space="preserve"> PAGEREF _Toc177654495 \h </w:instrText>
      </w:r>
      <w:r>
        <w:rPr>
          <w:rFonts w:hint="eastAsia"/>
          <w:color w:val="auto"/>
          <w:sz w:val="28"/>
          <w:szCs w:val="28"/>
        </w:rPr>
        <w:fldChar w:fldCharType="separate"/>
      </w:r>
      <w:r>
        <w:rPr>
          <w:color w:val="auto"/>
          <w:sz w:val="28"/>
          <w:szCs w:val="28"/>
        </w:rPr>
        <w:t>29</w:t>
      </w:r>
      <w:r>
        <w:rPr>
          <w:rFonts w:hint="eastAsia"/>
          <w:color w:val="auto"/>
          <w:sz w:val="28"/>
          <w:szCs w:val="28"/>
        </w:rPr>
        <w:fldChar w:fldCharType="end"/>
      </w:r>
      <w:r>
        <w:rPr>
          <w:rFonts w:hint="eastAsia"/>
          <w:color w:val="auto"/>
          <w:sz w:val="28"/>
          <w:szCs w:val="28"/>
        </w:rPr>
        <w:fldChar w:fldCharType="end"/>
      </w:r>
    </w:p>
    <w:p>
      <w:pPr>
        <w:pStyle w:val="19"/>
        <w:rPr>
          <w:rFonts w:hint="eastAsia" w:asciiTheme="minorHAnsi" w:hAnsiTheme="minorHAnsi" w:eastAsiaTheme="minorEastAsia" w:cstheme="minorBidi"/>
          <w:color w:val="auto"/>
          <w:sz w:val="28"/>
          <w:szCs w:val="28"/>
          <w14:ligatures w14:val="standardContextual"/>
        </w:rPr>
      </w:pPr>
      <w:r>
        <w:rPr>
          <w:color w:val="auto"/>
        </w:rPr>
        <w:fldChar w:fldCharType="begin"/>
      </w:r>
      <w:r>
        <w:rPr>
          <w:color w:val="auto"/>
        </w:rPr>
        <w:instrText xml:space="preserve"> HYPERLINK \l "_Toc177654496" </w:instrText>
      </w:r>
      <w:r>
        <w:rPr>
          <w:color w:val="auto"/>
        </w:rPr>
        <w:fldChar w:fldCharType="separate"/>
      </w:r>
      <w:r>
        <w:rPr>
          <w:rStyle w:val="25"/>
          <w:rFonts w:hint="eastAsia" w:ascii="楷体_GB2312" w:hAnsi="楷体_GB2312" w:eastAsia="楷体_GB2312" w:cs="楷体_GB2312"/>
          <w:color w:val="auto"/>
          <w:sz w:val="28"/>
          <w:szCs w:val="28"/>
        </w:rPr>
        <w:t>（五）实施评估考核</w:t>
      </w:r>
      <w:r>
        <w:rPr>
          <w:color w:val="auto"/>
          <w:sz w:val="28"/>
          <w:szCs w:val="28"/>
        </w:rPr>
        <w:tab/>
      </w:r>
      <w:r>
        <w:rPr>
          <w:rFonts w:hint="eastAsia"/>
          <w:color w:val="auto"/>
          <w:sz w:val="28"/>
          <w:szCs w:val="28"/>
        </w:rPr>
        <w:fldChar w:fldCharType="begin"/>
      </w:r>
      <w:r>
        <w:rPr>
          <w:color w:val="auto"/>
          <w:sz w:val="28"/>
          <w:szCs w:val="28"/>
        </w:rPr>
        <w:instrText xml:space="preserve"> PAGEREF _Toc177654496 \h </w:instrText>
      </w:r>
      <w:r>
        <w:rPr>
          <w:rFonts w:hint="eastAsia"/>
          <w:color w:val="auto"/>
          <w:sz w:val="28"/>
          <w:szCs w:val="28"/>
        </w:rPr>
        <w:fldChar w:fldCharType="separate"/>
      </w:r>
      <w:r>
        <w:rPr>
          <w:color w:val="auto"/>
          <w:sz w:val="28"/>
          <w:szCs w:val="28"/>
        </w:rPr>
        <w:t>29</w:t>
      </w:r>
      <w:r>
        <w:rPr>
          <w:rFonts w:hint="eastAsia"/>
          <w:color w:val="auto"/>
          <w:sz w:val="28"/>
          <w:szCs w:val="28"/>
        </w:rPr>
        <w:fldChar w:fldCharType="end"/>
      </w:r>
      <w:r>
        <w:rPr>
          <w:rFonts w:hint="eastAsia"/>
          <w:color w:val="auto"/>
          <w:sz w:val="28"/>
          <w:szCs w:val="28"/>
        </w:rPr>
        <w:fldChar w:fldCharType="end"/>
      </w:r>
    </w:p>
    <w:p>
      <w:pPr>
        <w:pStyle w:val="19"/>
        <w:rPr>
          <w:rFonts w:hint="eastAsia" w:ascii="仿宋_GB2312" w:hAnsi="仿宋_GB2312" w:eastAsia="仿宋_GB2312" w:cs="仿宋_GB2312"/>
          <w:color w:val="auto"/>
          <w:sz w:val="32"/>
          <w:szCs w:val="32"/>
        </w:rPr>
        <w:sectPr>
          <w:pgSz w:w="11906" w:h="16838"/>
          <w:pgMar w:top="1440" w:right="1800" w:bottom="1440" w:left="1800" w:header="851" w:footer="992" w:gutter="0"/>
          <w:cols w:space="425" w:num="1"/>
          <w:docGrid w:type="lines" w:linePitch="312" w:charSpace="0"/>
        </w:sectPr>
      </w:pPr>
      <w:r>
        <w:rPr>
          <w:rFonts w:ascii="黑体" w:hAnsi="黑体" w:eastAsia="黑体" w:cs="方正小标宋简体"/>
          <w:color w:val="auto"/>
          <w:spacing w:val="-8"/>
          <w:kern w:val="0"/>
          <w:sz w:val="28"/>
          <w:szCs w:val="28"/>
        </w:rPr>
        <w:fldChar w:fldCharType="end"/>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为深入推进云南省广播电视和网络视听产业高质量发展，根据国家广电总局发布的《广播电视和网络视听“十四五”发展规划》《</w:t>
      </w:r>
      <w:bookmarkStart w:id="0" w:name="OLE_LINK1"/>
      <w:r>
        <w:rPr>
          <w:rFonts w:hint="eastAsia" w:ascii="仿宋_GB2312" w:hAnsi="仿宋_GB2312" w:eastAsia="仿宋_GB2312" w:cs="仿宋_GB2312"/>
          <w:color w:val="auto"/>
          <w:sz w:val="32"/>
          <w:szCs w:val="32"/>
        </w:rPr>
        <w:t>关于推动广播电视和网络视听产业高质量发展的意见</w:t>
      </w:r>
      <w:bookmarkEnd w:id="0"/>
      <w:r>
        <w:rPr>
          <w:rFonts w:hint="eastAsia" w:ascii="仿宋_GB2312" w:hAnsi="仿宋_GB2312" w:eastAsia="仿宋_GB2312" w:cs="仿宋_GB2312"/>
          <w:color w:val="auto"/>
          <w:sz w:val="32"/>
          <w:szCs w:val="32"/>
        </w:rPr>
        <w:t>》，工信部、教育部、商务部等七部门发布的《关于加快推进视听电子产业高质量发展的指导意见》，云南省委省政府发布的《云南省国民经济和社会发展第十四个五年规划和二〇三五年远景目标纲要》以及云南省广播电视局发布的《云南省广播电视和网络视听“十四五”发展规划》等文件精神，结合云南省广播电视和网络视听产业发展实际情况，制定本规划。</w:t>
      </w:r>
    </w:p>
    <w:p>
      <w:pPr>
        <w:spacing w:line="600" w:lineRule="exact"/>
        <w:ind w:firstLine="640" w:firstLineChars="200"/>
        <w:outlineLvl w:val="0"/>
        <w:rPr>
          <w:rFonts w:hint="eastAsia" w:ascii="黑体" w:hAnsi="黑体" w:eastAsia="黑体" w:cs="黑体"/>
          <w:color w:val="auto"/>
          <w:sz w:val="32"/>
          <w:szCs w:val="32"/>
        </w:rPr>
      </w:pPr>
      <w:bookmarkStart w:id="1" w:name="_Toc177654476"/>
      <w:r>
        <w:rPr>
          <w:rFonts w:hint="eastAsia" w:ascii="黑体" w:hAnsi="黑体" w:eastAsia="黑体" w:cs="黑体"/>
          <w:color w:val="auto"/>
          <w:sz w:val="32"/>
          <w:szCs w:val="32"/>
        </w:rPr>
        <w:t>一、发展现状</w:t>
      </w:r>
      <w:bookmarkEnd w:id="1"/>
    </w:p>
    <w:p>
      <w:pPr>
        <w:spacing w:line="600" w:lineRule="exact"/>
        <w:ind w:firstLine="640" w:firstLineChars="200"/>
        <w:outlineLvl w:val="1"/>
        <w:rPr>
          <w:rFonts w:hint="eastAsia" w:ascii="仿宋_GB2312" w:hAnsi="仿宋_GB2312" w:eastAsia="仿宋_GB2312" w:cs="仿宋_GB2312"/>
          <w:color w:val="auto"/>
          <w:sz w:val="32"/>
          <w:szCs w:val="32"/>
        </w:rPr>
      </w:pPr>
      <w:bookmarkStart w:id="2" w:name="_Toc177654477"/>
      <w:r>
        <w:rPr>
          <w:rFonts w:hint="eastAsia" w:ascii="楷体_GB2312" w:hAnsi="楷体_GB2312" w:eastAsia="楷体_GB2312" w:cs="楷体_GB2312"/>
          <w:color w:val="auto"/>
          <w:sz w:val="32"/>
          <w:szCs w:val="32"/>
        </w:rPr>
        <w:t>（一）发展成就</w:t>
      </w:r>
      <w:bookmarkEnd w:id="2"/>
    </w:p>
    <w:p>
      <w:pPr>
        <w:spacing w:line="600" w:lineRule="exact"/>
        <w:ind w:firstLine="640" w:firstLineChars="200"/>
        <w:outlineLvl w:val="2"/>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1.产业布局初具雏形</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全省视听产业布局与区域经济相协调，重点视听机构由滇中城市群向周边城市辐射，初步形成涵盖内容制作、传输分发、融合应用等环节的产业链条。截至2023年底，全省广播电视和网络视听业务机构</w:t>
      </w:r>
      <w:r>
        <w:rPr>
          <w:rFonts w:ascii="仿宋_GB2312" w:hAnsi="仿宋_GB2312" w:eastAsia="仿宋_GB2312" w:cs="仿宋_GB2312"/>
          <w:color w:val="auto"/>
          <w:sz w:val="32"/>
          <w:szCs w:val="32"/>
        </w:rPr>
        <w:t>780</w:t>
      </w:r>
      <w:r>
        <w:rPr>
          <w:rFonts w:hint="eastAsia" w:ascii="仿宋_GB2312" w:hAnsi="仿宋_GB2312" w:eastAsia="仿宋_GB2312" w:cs="仿宋_GB2312"/>
          <w:color w:val="auto"/>
          <w:sz w:val="32"/>
          <w:szCs w:val="32"/>
        </w:rPr>
        <w:t>余家，广播电视节目制作经营机构</w:t>
      </w:r>
      <w:r>
        <w:rPr>
          <w:rFonts w:ascii="仿宋_GB2312" w:hAnsi="仿宋_GB2312" w:eastAsia="仿宋_GB2312" w:cs="仿宋_GB2312"/>
          <w:color w:val="auto"/>
          <w:sz w:val="32"/>
          <w:szCs w:val="32"/>
        </w:rPr>
        <w:t>400余家</w:t>
      </w:r>
      <w:r>
        <w:rPr>
          <w:rFonts w:hint="eastAsia" w:ascii="仿宋_GB2312" w:hAnsi="仿宋_GB2312" w:eastAsia="仿宋_GB2312" w:cs="仿宋_GB2312"/>
          <w:color w:val="auto"/>
          <w:sz w:val="32"/>
          <w:szCs w:val="32"/>
        </w:rPr>
        <w:t>，规模以上近</w:t>
      </w:r>
      <w:r>
        <w:rPr>
          <w:rFonts w:hint="eastAsia" w:ascii="仿宋_GB2312" w:hAnsi="仿宋_GB2312" w:eastAsia="仿宋_GB2312" w:cs="仿宋_GB2312"/>
          <w:color w:val="auto"/>
          <w:sz w:val="32"/>
          <w:szCs w:val="32"/>
          <w:lang w:val="en-US" w:eastAsia="zh-CN"/>
        </w:rPr>
        <w:t>7</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家。</w:t>
      </w:r>
    </w:p>
    <w:p>
      <w:pPr>
        <w:spacing w:line="600" w:lineRule="exact"/>
        <w:ind w:firstLine="640" w:firstLineChars="200"/>
        <w:outlineLvl w:val="2"/>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2.精品力作不断涌现</w:t>
      </w:r>
    </w:p>
    <w:p>
      <w:pPr>
        <w:spacing w:line="600" w:lineRule="exact"/>
        <w:ind w:firstLine="640" w:firstLineChars="200"/>
        <w:rPr>
          <w:rFonts w:hint="eastAsia" w:ascii="仿宋_GB2312" w:hAnsi="仿宋_GB2312" w:eastAsia="方正仿宋_GBK" w:cs="仿宋_GB2312"/>
          <w:color w:val="auto"/>
          <w:sz w:val="32"/>
          <w:szCs w:val="32"/>
          <w:lang w:eastAsia="zh-CN"/>
        </w:rPr>
      </w:pPr>
      <w:r>
        <w:rPr>
          <w:rFonts w:hint="eastAsia" w:ascii="仿宋_GB2312" w:hAnsi="仿宋_GB2312" w:eastAsia="仿宋_GB2312" w:cs="仿宋_GB2312"/>
          <w:color w:val="auto"/>
          <w:sz w:val="32"/>
          <w:szCs w:val="32"/>
        </w:rPr>
        <w:t>近年来，全省大力开展视听内容创作与创新工作，通过争取财政专项资金扶持优秀视听项目，视听内容生产制作水平不断提高，涌现了一批思想精深、艺术精湛、制作精良，反映时代精神和地方特色，有内涵、有亮点的视听作品，产生了较为广泛的社会影响</w:t>
      </w:r>
      <w:r>
        <w:rPr>
          <w:rFonts w:hint="eastAsia" w:ascii="仿宋_GB2312" w:hAnsi="仿宋_GB2312" w:eastAsia="仿宋_GB2312" w:cs="仿宋_GB2312"/>
          <w:color w:val="auto"/>
          <w:sz w:val="32"/>
          <w:szCs w:val="32"/>
          <w:lang w:eastAsia="zh-CN"/>
        </w:rPr>
        <w:t>，多部作品</w:t>
      </w:r>
      <w:r>
        <w:rPr>
          <w:rFonts w:hint="eastAsia" w:ascii="仿宋_GB2312" w:hAnsi="仿宋_GB2312" w:eastAsia="仿宋_GB2312" w:cs="仿宋_GB2312"/>
          <w:color w:val="auto"/>
          <w:sz w:val="32"/>
          <w:szCs w:val="32"/>
        </w:rPr>
        <w:t>获广电总局扶持及云南省文艺精品创作扶持、云南文化精品工程奖奖励。</w:t>
      </w:r>
      <w:r>
        <w:rPr>
          <w:rFonts w:hint="eastAsia" w:ascii="仿宋_GB2312" w:hAnsi="仿宋_GB2312" w:eastAsia="仿宋_GB2312" w:cs="仿宋_GB2312"/>
          <w:color w:val="auto"/>
          <w:sz w:val="32"/>
          <w:szCs w:val="32"/>
          <w:lang w:eastAsia="zh-CN"/>
        </w:rPr>
        <w:t>电视剧《山花烂漫时》</w:t>
      </w:r>
      <w:r>
        <w:rPr>
          <w:rFonts w:ascii="Times New Roman" w:hAnsi="Times New Roman" w:eastAsia="方正仿宋_GBK" w:cs="Times New Roman"/>
          <w:color w:val="auto"/>
          <w:sz w:val="32"/>
          <w:szCs w:val="32"/>
          <w:shd w:val="clear" w:color="auto" w:fill="FFFFFF"/>
        </w:rPr>
        <w:t>在C</w:t>
      </w:r>
      <w:r>
        <w:rPr>
          <w:rFonts w:ascii="Times New Roman" w:hAnsi="Times New Roman" w:eastAsia="方正仿宋_GBK" w:cs="Times New Roman"/>
          <w:color w:val="auto"/>
          <w:sz w:val="32"/>
          <w:szCs w:val="32"/>
        </w:rPr>
        <w:t>CTV—1 黄金档、北京卫视、东方卫视、CCTV—8、腾讯视频</w:t>
      </w:r>
      <w:r>
        <w:rPr>
          <w:rFonts w:hint="eastAsia" w:ascii="Times New Roman" w:hAnsi="Times New Roman" w:eastAsia="方正仿宋_GBK" w:cs="Times New Roman"/>
          <w:color w:val="auto"/>
          <w:sz w:val="32"/>
          <w:szCs w:val="32"/>
        </w:rPr>
        <w:t>等五</w:t>
      </w:r>
      <w:r>
        <w:rPr>
          <w:rFonts w:ascii="Times New Roman" w:hAnsi="Times New Roman" w:eastAsia="方正仿宋_GBK" w:cs="Times New Roman"/>
          <w:color w:val="auto"/>
          <w:sz w:val="32"/>
          <w:szCs w:val="32"/>
        </w:rPr>
        <w:t>大主流平台热播</w:t>
      </w:r>
      <w:r>
        <w:rPr>
          <w:rFonts w:hint="eastAsia" w:ascii="Times New Roman" w:hAnsi="Times New Roman" w:eastAsia="方正仿宋_GBK" w:cs="Times New Roman"/>
          <w:color w:val="auto"/>
          <w:sz w:val="32"/>
          <w:szCs w:val="32"/>
          <w:lang w:eastAsia="zh-CN"/>
        </w:rPr>
        <w:t>，</w:t>
      </w:r>
      <w:r>
        <w:rPr>
          <w:rFonts w:ascii="Times New Roman" w:hAnsi="Times New Roman" w:eastAsia="方正仿宋_GBK" w:cs="Times New Roman"/>
          <w:color w:val="auto"/>
          <w:sz w:val="32"/>
          <w:szCs w:val="32"/>
          <w:shd w:val="clear" w:color="auto" w:fill="FFFFFF"/>
        </w:rPr>
        <w:t>累计收视户次突破8.8亿，</w:t>
      </w:r>
      <w:r>
        <w:rPr>
          <w:rFonts w:hint="eastAsia" w:ascii="Times New Roman" w:hAnsi="Times New Roman" w:eastAsia="方正仿宋_GBK" w:cs="Times New Roman"/>
          <w:color w:val="auto"/>
          <w:sz w:val="32"/>
          <w:szCs w:val="32"/>
          <w:shd w:val="clear" w:color="auto" w:fill="FFFFFF"/>
        </w:rPr>
        <w:t>观众美誉度稳居高位</w:t>
      </w:r>
      <w:r>
        <w:rPr>
          <w:rFonts w:hint="eastAsia" w:ascii="Times New Roman" w:hAnsi="Times New Roman" w:eastAsia="方正仿宋_GBK" w:cs="Times New Roman"/>
          <w:color w:val="auto"/>
          <w:sz w:val="32"/>
          <w:szCs w:val="32"/>
          <w:shd w:val="clear" w:color="auto" w:fill="FFFFFF"/>
          <w:lang w:eastAsia="zh-CN"/>
        </w:rPr>
        <w:t>，是近年来云南持续抓精品创作的标志性成果。</w:t>
      </w:r>
    </w:p>
    <w:p>
      <w:pPr>
        <w:spacing w:line="600" w:lineRule="exact"/>
        <w:ind w:firstLine="640" w:firstLineChars="200"/>
        <w:outlineLvl w:val="2"/>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3.国际传播成果丰硕</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强化国际传播内容建设，与湄公河多个国家级电视台合办栏目</w:t>
      </w:r>
      <w:r>
        <w:rPr>
          <w:rFonts w:hint="eastAsia" w:ascii="仿宋_GB2312" w:hAnsi="仿宋_GB2312" w:eastAsia="仿宋_GB2312" w:cs="仿宋_GB2312"/>
          <w:color w:val="auto"/>
          <w:sz w:val="32"/>
          <w:szCs w:val="32"/>
          <w:lang w:eastAsia="zh-CN"/>
        </w:rPr>
        <w:t>、合拍纪录片。</w:t>
      </w:r>
      <w:r>
        <w:rPr>
          <w:rFonts w:hint="eastAsia" w:ascii="仿宋_GB2312" w:hAnsi="仿宋_GB2312" w:eastAsia="仿宋_GB2312" w:cs="仿宋_GB2312"/>
          <w:color w:val="auto"/>
          <w:sz w:val="32"/>
          <w:szCs w:val="32"/>
        </w:rPr>
        <w:t>深化技术合作，中国</w:t>
      </w:r>
      <w:r>
        <w:rPr>
          <w:rFonts w:hint="default" w:ascii="Times New Roman" w:hAnsi="Times New Roman" w:eastAsia="仿宋_GB2312" w:cs="Times New Roman"/>
          <w:color w:val="auto"/>
          <w:sz w:val="32"/>
          <w:szCs w:val="32"/>
        </w:rPr>
        <w:t>DTMB</w:t>
      </w:r>
      <w:r>
        <w:rPr>
          <w:rFonts w:hint="eastAsia" w:ascii="仿宋_GB2312" w:hAnsi="仿宋_GB2312" w:eastAsia="仿宋_GB2312" w:cs="仿宋_GB2312"/>
          <w:color w:val="auto"/>
          <w:sz w:val="32"/>
          <w:szCs w:val="32"/>
        </w:rPr>
        <w:t>数字电视项目在老挝、柬埔寨成功落地，</w:t>
      </w:r>
      <w:r>
        <w:rPr>
          <w:rFonts w:ascii="Times New Roman" w:hAnsi="Times New Roman" w:eastAsia="方正仿宋_GBK" w:cs="Times New Roman"/>
          <w:color w:val="auto"/>
          <w:sz w:val="32"/>
          <w:szCs w:val="32"/>
        </w:rPr>
        <w:t>柬埔寨DTMB+OTT</w:t>
      </w:r>
      <w:r>
        <w:rPr>
          <w:rFonts w:hint="eastAsia" w:ascii="Times New Roman" w:hAnsi="Times New Roman" w:eastAsia="方正仿宋_GBK" w:cs="Times New Roman"/>
          <w:color w:val="auto"/>
          <w:sz w:val="32"/>
          <w:szCs w:val="32"/>
          <w:lang w:eastAsia="zh-CN"/>
        </w:rPr>
        <w:t>项目投入</w:t>
      </w:r>
      <w:r>
        <w:rPr>
          <w:rFonts w:ascii="Times New Roman" w:hAnsi="Times New Roman" w:eastAsia="方正仿宋_GBK" w:cs="Times New Roman"/>
          <w:color w:val="auto"/>
          <w:sz w:val="32"/>
          <w:szCs w:val="32"/>
        </w:rPr>
        <w:t>运营</w:t>
      </w:r>
      <w:r>
        <w:rPr>
          <w:rFonts w:hint="eastAsia" w:ascii="Times New Roman" w:hAnsi="Times New Roman" w:eastAsia="方正仿宋_GBK" w:cs="Times New Roman"/>
          <w:color w:val="auto"/>
          <w:sz w:val="32"/>
          <w:szCs w:val="32"/>
          <w:lang w:eastAsia="zh-CN"/>
        </w:rPr>
        <w:t>，</w:t>
      </w:r>
      <w:r>
        <w:rPr>
          <w:rFonts w:hint="eastAsia" w:ascii="仿宋_GB2312" w:hAnsi="仿宋_GB2312" w:eastAsia="仿宋_GB2312" w:cs="仿宋_GB2312"/>
          <w:color w:val="auto"/>
          <w:sz w:val="32"/>
          <w:szCs w:val="32"/>
        </w:rPr>
        <w:t>云南广播电视台澜湄国际卫视频道入网覆盖亚洲18个国家和地区，总覆盖人口超4300万。举办多届澜湄视听周、澜湄国际电影周等系列活动，澜湄视听周被写入《共建“一带一路”：构建人类命运共同体的重大实践》白皮书</w:t>
      </w:r>
      <w:r>
        <w:rPr>
          <w:rFonts w:hint="eastAsia" w:ascii="Times New Roman" w:hAnsi="Times New Roman" w:eastAsia="方正仿宋_GBK" w:cs="方正仿宋_GBK"/>
          <w:color w:val="auto"/>
          <w:sz w:val="32"/>
          <w:szCs w:val="32"/>
          <w:lang w:val="en-US" w:eastAsia="zh-CN"/>
        </w:rPr>
        <w:t>和澜湄合作第四次领导人会议发布的《澜湄合作五年行动计划（2023—2027）</w:t>
      </w:r>
      <w:r>
        <w:rPr>
          <w:rFonts w:hint="eastAsia" w:eastAsia="方正仿宋_GBK" w:cs="方正仿宋_GBK"/>
          <w:color w:val="auto"/>
          <w:sz w:val="32"/>
          <w:szCs w:val="32"/>
          <w:lang w:val="en-US" w:eastAsia="zh-CN"/>
        </w:rPr>
        <w:t>》</w:t>
      </w:r>
      <w:r>
        <w:rPr>
          <w:rFonts w:hint="eastAsia" w:ascii="仿宋_GB2312" w:hAnsi="仿宋_GB2312" w:eastAsia="仿宋_GB2312" w:cs="仿宋_GB2312"/>
          <w:color w:val="auto"/>
          <w:sz w:val="32"/>
          <w:szCs w:val="32"/>
        </w:rPr>
        <w:t>，视听国际传播影响力明显增强。</w:t>
      </w:r>
    </w:p>
    <w:p>
      <w:pPr>
        <w:spacing w:line="600" w:lineRule="exact"/>
        <w:ind w:firstLine="640" w:firstLineChars="200"/>
        <w:outlineLvl w:val="2"/>
        <w:rPr>
          <w:rFonts w:hint="eastAsia" w:ascii="楷体_GB2312" w:hAnsi="楷体_GB2312" w:eastAsia="楷体_GB2312" w:cs="楷体_GB2312"/>
          <w:color w:val="auto"/>
          <w:sz w:val="32"/>
          <w:szCs w:val="32"/>
        </w:rPr>
      </w:pPr>
      <w:r>
        <w:rPr>
          <w:rFonts w:ascii="楷体_GB2312" w:hAnsi="楷体_GB2312" w:eastAsia="楷体_GB2312" w:cs="楷体_GB2312"/>
          <w:color w:val="auto"/>
          <w:sz w:val="32"/>
          <w:szCs w:val="32"/>
        </w:rPr>
        <w:t>4.</w:t>
      </w:r>
      <w:r>
        <w:rPr>
          <w:rFonts w:hint="eastAsia" w:ascii="楷体_GB2312" w:hAnsi="楷体_GB2312" w:eastAsia="楷体_GB2312" w:cs="楷体_GB2312"/>
          <w:color w:val="auto"/>
          <w:sz w:val="32"/>
          <w:szCs w:val="32"/>
        </w:rPr>
        <w:t>公共服务成效显著</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 w:hAnsi="仿宋" w:eastAsia="仿宋" w:cs="仿宋"/>
          <w:b w:val="0"/>
          <w:bCs w:val="0"/>
          <w:color w:val="auto"/>
          <w:spacing w:val="0"/>
          <w:kern w:val="0"/>
          <w:sz w:val="32"/>
          <w:lang w:val="en" w:eastAsia="zh-CN"/>
        </w:rPr>
        <w:t>《云南省广播电视公共服务实施办法》列入《云南省人民政府2024年立法工作计划》。全面建成覆盖省市县乡村的应急广播体系，</w:t>
      </w:r>
      <w:r>
        <w:rPr>
          <w:rFonts w:hint="eastAsia" w:ascii="仿宋" w:hAnsi="仿宋" w:eastAsia="仿宋" w:cs="仿宋"/>
          <w:b w:val="0"/>
          <w:color w:val="auto"/>
          <w:spacing w:val="0"/>
          <w:sz w:val="32"/>
          <w:lang w:val="en" w:eastAsia="zh-CN"/>
        </w:rPr>
        <w:t>全省已实现20户以上自然村应急广播终端全覆盖，</w:t>
      </w:r>
      <w:r>
        <w:rPr>
          <w:rFonts w:hint="eastAsia" w:ascii="仿宋" w:hAnsi="仿宋" w:eastAsia="仿宋" w:cs="仿宋"/>
          <w:b w:val="0"/>
          <w:bCs w:val="0"/>
          <w:color w:val="auto"/>
          <w:spacing w:val="0"/>
          <w:kern w:val="0"/>
          <w:sz w:val="32"/>
          <w:lang w:val="en-US" w:eastAsia="zh-CN"/>
        </w:rPr>
        <w:t>各类终端超</w:t>
      </w:r>
      <w:r>
        <w:rPr>
          <w:rFonts w:hint="eastAsia" w:ascii="仿宋" w:hAnsi="仿宋" w:eastAsia="仿宋" w:cs="仿宋"/>
          <w:b w:val="0"/>
          <w:bCs w:val="0"/>
          <w:snapToGrid w:val="0"/>
          <w:color w:val="auto"/>
          <w:spacing w:val="0"/>
          <w:kern w:val="0"/>
          <w:sz w:val="32"/>
          <w:highlight w:val="none"/>
          <w:lang w:val="en-US" w:eastAsia="zh-CN"/>
        </w:rPr>
        <w:t>13.</w:t>
      </w:r>
      <w:r>
        <w:rPr>
          <w:rFonts w:hint="default" w:ascii="仿宋" w:hAnsi="仿宋" w:eastAsia="仿宋" w:cs="仿宋"/>
          <w:b w:val="0"/>
          <w:bCs w:val="0"/>
          <w:snapToGrid w:val="0"/>
          <w:color w:val="auto"/>
          <w:spacing w:val="0"/>
          <w:kern w:val="0"/>
          <w:sz w:val="32"/>
          <w:highlight w:val="none"/>
          <w:lang w:val="en-US" w:eastAsia="zh-CN"/>
        </w:rPr>
        <w:t>6</w:t>
      </w:r>
      <w:r>
        <w:rPr>
          <w:rFonts w:hint="eastAsia" w:ascii="仿宋" w:hAnsi="仿宋" w:eastAsia="仿宋" w:cs="仿宋"/>
          <w:b w:val="0"/>
          <w:bCs w:val="0"/>
          <w:snapToGrid w:val="0"/>
          <w:color w:val="auto"/>
          <w:spacing w:val="0"/>
          <w:kern w:val="0"/>
          <w:sz w:val="32"/>
          <w:highlight w:val="none"/>
          <w:lang w:val="en-US" w:eastAsia="zh-CN"/>
        </w:rPr>
        <w:t>万</w:t>
      </w:r>
      <w:r>
        <w:rPr>
          <w:rFonts w:hint="eastAsia" w:ascii="仿宋" w:hAnsi="仿宋" w:eastAsia="仿宋" w:cs="仿宋"/>
          <w:b w:val="0"/>
          <w:bCs w:val="0"/>
          <w:color w:val="auto"/>
          <w:spacing w:val="0"/>
          <w:kern w:val="0"/>
          <w:sz w:val="32"/>
          <w:lang w:val="en-US" w:eastAsia="zh-CN"/>
        </w:rPr>
        <w:t>个</w:t>
      </w:r>
      <w:r>
        <w:rPr>
          <w:rFonts w:hint="eastAsia" w:ascii="仿宋" w:hAnsi="仿宋" w:eastAsia="仿宋" w:cs="仿宋"/>
          <w:b w:val="0"/>
          <w:color w:val="auto"/>
          <w:spacing w:val="0"/>
          <w:sz w:val="32"/>
          <w:lang w:val="en" w:eastAsia="zh-CN"/>
        </w:rPr>
        <w:t>。全面推进公共服务标准化服务网点建设，完成红河州、楚雄州</w:t>
      </w:r>
      <w:r>
        <w:rPr>
          <w:rFonts w:hint="eastAsia" w:ascii="仿宋" w:hAnsi="仿宋" w:eastAsia="仿宋" w:cs="仿宋"/>
          <w:b w:val="0"/>
          <w:color w:val="auto"/>
          <w:spacing w:val="0"/>
          <w:sz w:val="32"/>
          <w:u w:val="none"/>
          <w:lang w:val="en" w:eastAsia="zh-CN"/>
        </w:rPr>
        <w:t>、玉溪市全国基本公共服务标准化试点工作，</w:t>
      </w:r>
      <w:r>
        <w:rPr>
          <w:rFonts w:hint="eastAsia" w:ascii="仿宋" w:hAnsi="仿宋" w:eastAsia="仿宋" w:cs="仿宋"/>
          <w:b w:val="0"/>
          <w:bCs/>
          <w:color w:val="auto"/>
          <w:spacing w:val="0"/>
          <w:kern w:val="0"/>
          <w:sz w:val="32"/>
          <w:szCs w:val="32"/>
          <w:lang w:val="en-US" w:eastAsia="zh-CN" w:bidi="ar"/>
        </w:rPr>
        <w:t>群众获得感进一步提升。</w:t>
      </w:r>
      <w:r>
        <w:rPr>
          <w:rFonts w:hint="eastAsia" w:ascii="仿宋_GB2312" w:hAnsi="仿宋_GB2312" w:eastAsia="仿宋_GB2312" w:cs="仿宋_GB2312"/>
          <w:color w:val="auto"/>
          <w:sz w:val="32"/>
          <w:szCs w:val="32"/>
        </w:rPr>
        <w:t>积极推动电视频道高清化建设，全省州（市）级以上电视频道46个，其中44个完成高清化建设，云南广播电视台频道全部实现高清化。有效提升云南省民族地区有线电视网络的承载能力和内容支撑能力，全省共完成民族地区38.72万套有线高清交互数字电视机顶盒的安装工作。电视“套娃”收费和操作复杂治理取得阶段性成果，广电媒体融合持续深入、广电5G发展稳步提升。</w:t>
      </w:r>
    </w:p>
    <w:p>
      <w:pPr>
        <w:spacing w:line="600" w:lineRule="exact"/>
        <w:ind w:firstLine="640" w:firstLineChars="200"/>
        <w:outlineLvl w:val="1"/>
        <w:rPr>
          <w:rFonts w:hint="eastAsia" w:ascii="楷体_GB2312" w:hAnsi="楷体_GB2312" w:eastAsia="楷体_GB2312" w:cs="楷体_GB2312"/>
          <w:color w:val="auto"/>
          <w:sz w:val="32"/>
          <w:szCs w:val="32"/>
        </w:rPr>
      </w:pPr>
      <w:bookmarkStart w:id="3" w:name="_Toc177654478"/>
      <w:r>
        <w:rPr>
          <w:rFonts w:hint="eastAsia" w:ascii="楷体_GB2312" w:hAnsi="楷体_GB2312" w:eastAsia="楷体_GB2312" w:cs="楷体_GB2312"/>
          <w:color w:val="auto"/>
          <w:sz w:val="32"/>
          <w:szCs w:val="32"/>
        </w:rPr>
        <w:t>（二）面临的形势与要求</w:t>
      </w:r>
      <w:bookmarkEnd w:id="3"/>
    </w:p>
    <w:p>
      <w:pPr>
        <w:spacing w:line="600" w:lineRule="exact"/>
        <w:ind w:firstLine="642"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1．党和国家一系列重大决策部署，对广播电视和网络视听产业高质量发展提出了新要求。</w:t>
      </w:r>
      <w:r>
        <w:rPr>
          <w:rFonts w:hint="eastAsia" w:ascii="仿宋_GB2312" w:hAnsi="仿宋_GB2312" w:eastAsia="仿宋_GB2312" w:cs="仿宋_GB2312"/>
          <w:color w:val="auto"/>
          <w:sz w:val="32"/>
          <w:szCs w:val="32"/>
        </w:rPr>
        <w:t>围绕加速构建新时代大视听全产业链市场发展格局，加快建立现代化视听电子产业体系，优化广播电视和网络视听产业结构布局，健全现代产业体系和市场体系，培育新型业态和消费模式，深化国际合作和提升传播效能</w:t>
      </w:r>
      <w:r>
        <w:rPr>
          <w:rFonts w:hint="eastAsia" w:ascii="仿宋_GB2312" w:hAnsi="仿宋_GB2312" w:eastAsia="仿宋_GB2312" w:cs="仿宋_GB2312"/>
          <w:color w:val="auto"/>
          <w:sz w:val="32"/>
          <w:szCs w:val="32"/>
          <w:lang w:eastAsia="zh-CN"/>
        </w:rPr>
        <w:t>等，党中央</w:t>
      </w:r>
      <w:r>
        <w:rPr>
          <w:rFonts w:hint="eastAsia" w:ascii="仿宋_GB2312" w:hAnsi="仿宋_GB2312" w:eastAsia="仿宋_GB2312" w:cs="仿宋_GB2312"/>
          <w:color w:val="auto"/>
          <w:sz w:val="32"/>
          <w:szCs w:val="32"/>
        </w:rPr>
        <w:t>作出了一系列重大部署，对广播电视和网络视听高质量发展提出了新的更高要求，也为广播电视和网络视听产业发展提供了强有力的政策支持。</w:t>
      </w:r>
    </w:p>
    <w:p>
      <w:pPr>
        <w:spacing w:line="600" w:lineRule="exact"/>
        <w:ind w:firstLine="642"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w:t>
      </w:r>
      <w:r>
        <w:rPr>
          <w:rFonts w:ascii="仿宋_GB2312" w:hAnsi="仿宋_GB2312" w:eastAsia="仿宋_GB2312" w:cs="仿宋_GB2312"/>
          <w:b/>
          <w:bCs/>
          <w:color w:val="auto"/>
          <w:sz w:val="32"/>
          <w:szCs w:val="32"/>
        </w:rPr>
        <w:t>.</w:t>
      </w:r>
      <w:r>
        <w:rPr>
          <w:rFonts w:hint="eastAsia"/>
          <w:color w:val="auto"/>
        </w:rPr>
        <w:t xml:space="preserve"> </w:t>
      </w:r>
      <w:r>
        <w:rPr>
          <w:rFonts w:hint="eastAsia" w:ascii="仿宋_GB2312" w:hAnsi="仿宋_GB2312" w:eastAsia="仿宋_GB2312" w:cs="仿宋_GB2312"/>
          <w:b/>
          <w:bCs/>
          <w:color w:val="auto"/>
          <w:sz w:val="32"/>
          <w:szCs w:val="32"/>
        </w:rPr>
        <w:t>新一轮科技革命和产业变革突飞猛进，大视听产业格局加速形成，视听产业发展迎来新机遇。</w:t>
      </w:r>
      <w:r>
        <w:rPr>
          <w:rFonts w:hint="eastAsia" w:ascii="仿宋_GB2312" w:hAnsi="仿宋_GB2312" w:eastAsia="仿宋_GB2312" w:cs="仿宋_GB2312"/>
          <w:color w:val="auto"/>
          <w:sz w:val="32"/>
          <w:szCs w:val="32"/>
        </w:rPr>
        <w:t>广播电视和网络视听技术同</w:t>
      </w:r>
      <w:r>
        <w:rPr>
          <w:rFonts w:ascii="仿宋_GB2312" w:hAnsi="仿宋_GB2312" w:eastAsia="仿宋_GB2312" w:cs="仿宋_GB2312"/>
          <w:color w:val="auto"/>
          <w:sz w:val="32"/>
          <w:szCs w:val="32"/>
        </w:rPr>
        <w:t>5G、人工智能等</w:t>
      </w:r>
      <w:r>
        <w:rPr>
          <w:rFonts w:hint="eastAsia" w:ascii="仿宋_GB2312" w:hAnsi="仿宋_GB2312" w:eastAsia="仿宋_GB2312" w:cs="仿宋_GB2312"/>
          <w:color w:val="auto"/>
          <w:sz w:val="32"/>
          <w:szCs w:val="32"/>
        </w:rPr>
        <w:t>新</w:t>
      </w:r>
      <w:r>
        <w:rPr>
          <w:rFonts w:ascii="仿宋_GB2312" w:hAnsi="仿宋_GB2312" w:eastAsia="仿宋_GB2312" w:cs="仿宋_GB2312"/>
          <w:color w:val="auto"/>
          <w:sz w:val="32"/>
          <w:szCs w:val="32"/>
        </w:rPr>
        <w:t>技术深度融合、互相赋能，</w:t>
      </w:r>
      <w:r>
        <w:rPr>
          <w:rFonts w:hint="eastAsia" w:ascii="仿宋_GB2312" w:hAnsi="仿宋_GB2312" w:eastAsia="仿宋_GB2312" w:cs="仿宋_GB2312"/>
          <w:color w:val="auto"/>
          <w:sz w:val="32"/>
          <w:szCs w:val="32"/>
        </w:rPr>
        <w:t>视听产业规模不断增长，产业边界不断拓展，超高清、沉浸式、互动式、VR/AR/MR等视听内容形态不断创新，裸眼大屏、智慧车窗、智能座舱、VR头显等视听体验终端不断兴起，视听+文旅、视听+民生等视听新业态不断涌现，特别是以大模型为代表的人工智能生成技术，给视听领域带来了“生产模式”和“质量与效率”的根本性变革，为加速推动云南视听产业形成具有高科技、高效能、高质量重要特征的新质生产力，实现跨越式发展提供了新的机遇。</w:t>
      </w:r>
    </w:p>
    <w:p>
      <w:pPr>
        <w:spacing w:line="6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w:t>
      </w:r>
      <w:r>
        <w:rPr>
          <w:rFonts w:ascii="仿宋_GB2312" w:hAnsi="仿宋_GB2312" w:eastAsia="仿宋_GB2312" w:cs="仿宋_GB2312"/>
          <w:b/>
          <w:bCs/>
          <w:color w:val="auto"/>
          <w:sz w:val="32"/>
          <w:szCs w:val="32"/>
        </w:rPr>
        <w:t>.</w:t>
      </w:r>
      <w:r>
        <w:rPr>
          <w:rFonts w:hint="eastAsia"/>
          <w:color w:val="auto"/>
        </w:rPr>
        <w:t xml:space="preserve"> </w:t>
      </w:r>
      <w:r>
        <w:rPr>
          <w:rFonts w:hint="eastAsia" w:ascii="仿宋_GB2312" w:hAnsi="仿宋_GB2312" w:eastAsia="仿宋_GB2312" w:cs="仿宋_GB2312"/>
          <w:b/>
          <w:bCs/>
          <w:color w:val="auto"/>
          <w:sz w:val="32"/>
          <w:szCs w:val="32"/>
        </w:rPr>
        <w:t>“面向南亚东南亚辐射中心”的发展定位和“3815” 战略发展目标，为云南广播电视和网络视听产业发展提供了根本遵循。</w:t>
      </w:r>
      <w:r>
        <w:rPr>
          <w:rFonts w:hint="eastAsia" w:ascii="仿宋_GB2312" w:hAnsi="仿宋_GB2312" w:eastAsia="仿宋_GB2312" w:cs="仿宋_GB2312"/>
          <w:color w:val="auto"/>
          <w:sz w:val="32"/>
          <w:szCs w:val="32"/>
        </w:rPr>
        <w:t>国务院《关于支持云南加快建设我国面向南亚东南亚辐射中心的意见》，明确了构筑全方位对外开放新高地，加快建设数字信息互联互通国际大通道，做大做强特色优势产业，积极承接国内外产业转移等主要任务。省委“3815”战略发展目标，把高质量发展和跨越式发展统一起来，以高质量跨越式发展推进中国式现代化云南实践。</w:t>
      </w:r>
      <w:r>
        <w:rPr>
          <w:rFonts w:hint="eastAsia" w:ascii="仿宋_GB2312" w:hAnsi="仿宋_GB2312" w:eastAsia="仿宋_GB2312" w:cs="仿宋_GB2312"/>
          <w:color w:val="auto"/>
          <w:sz w:val="32"/>
          <w:szCs w:val="32"/>
          <w:lang w:eastAsia="zh-CN"/>
        </w:rPr>
        <w:t>这些</w:t>
      </w:r>
      <w:r>
        <w:rPr>
          <w:rFonts w:hint="eastAsia" w:ascii="仿宋_GB2312" w:hAnsi="仿宋_GB2312" w:eastAsia="仿宋_GB2312" w:cs="仿宋_GB2312"/>
          <w:color w:val="auto"/>
          <w:sz w:val="32"/>
          <w:szCs w:val="32"/>
        </w:rPr>
        <w:t>为云南广播电视和网络视听产业高质量发展指明了方向、提供了</w:t>
      </w:r>
      <w:r>
        <w:rPr>
          <w:rFonts w:hint="eastAsia" w:ascii="仿宋_GB2312" w:hAnsi="仿宋_GB2312" w:eastAsia="仿宋_GB2312" w:cs="仿宋_GB2312"/>
          <w:color w:val="auto"/>
          <w:sz w:val="32"/>
          <w:szCs w:val="32"/>
          <w:lang w:eastAsia="zh-CN"/>
        </w:rPr>
        <w:t>条件</w:t>
      </w:r>
      <w:r>
        <w:rPr>
          <w:rFonts w:hint="eastAsia" w:ascii="仿宋_GB2312" w:hAnsi="仿宋_GB2312" w:eastAsia="仿宋_GB2312" w:cs="仿宋_GB2312"/>
          <w:color w:val="auto"/>
          <w:sz w:val="32"/>
          <w:szCs w:val="32"/>
        </w:rPr>
        <w:t>。</w:t>
      </w:r>
    </w:p>
    <w:p>
      <w:pPr>
        <w:spacing w:line="6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w:t>
      </w:r>
      <w:r>
        <w:rPr>
          <w:rFonts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rPr>
        <w:t>特殊的人文地理特色和资源优势，要求云南视听产业发展要有适应省情、彰显特色的新思路和新举措。</w:t>
      </w:r>
      <w:r>
        <w:rPr>
          <w:rFonts w:hint="eastAsia" w:ascii="仿宋_GB2312" w:hAnsi="仿宋_GB2312" w:eastAsia="仿宋_GB2312" w:cs="仿宋_GB2312"/>
          <w:color w:val="auto"/>
          <w:sz w:val="32"/>
          <w:szCs w:val="32"/>
        </w:rPr>
        <w:t>多彩的民族文化，为视听内容创作、文化传承和文化传播交流提供了丰富的人文资源。多样的旅游资源,提供了得天独厚的视听内容创作条件，“视听+文旅”具有巨大的发展空间。此外，云南是我国面向南亚东南亚和环印度洋地区开放的大通道，是我国连接南亚东南亚的重要大通道,是“一带一路”倡议、长江经济带两大国家发展战略的重要交汇点，承担着国际传播、文明互鉴、文化交流的重任。基于特有的发展环境和资源优势，云南大视听产业大有可为。</w:t>
      </w:r>
    </w:p>
    <w:p>
      <w:pPr>
        <w:spacing w:line="600" w:lineRule="exact"/>
        <w:ind w:firstLine="640" w:firstLineChars="200"/>
        <w:outlineLvl w:val="1"/>
        <w:rPr>
          <w:rFonts w:hint="eastAsia" w:ascii="楷体_GB2312" w:hAnsi="楷体_GB2312" w:eastAsia="楷体_GB2312" w:cs="楷体_GB2312"/>
          <w:color w:val="auto"/>
          <w:sz w:val="32"/>
          <w:szCs w:val="32"/>
        </w:rPr>
      </w:pPr>
      <w:bookmarkStart w:id="4" w:name="_Toc177654479"/>
      <w:r>
        <w:rPr>
          <w:rFonts w:hint="eastAsia" w:ascii="楷体_GB2312" w:hAnsi="楷体_GB2312" w:eastAsia="楷体_GB2312" w:cs="楷体_GB2312"/>
          <w:color w:val="auto"/>
          <w:sz w:val="32"/>
          <w:szCs w:val="32"/>
        </w:rPr>
        <w:t>（三）存在的问题与不足</w:t>
      </w:r>
      <w:bookmarkEnd w:id="4"/>
    </w:p>
    <w:p>
      <w:pPr>
        <w:spacing w:line="600" w:lineRule="exact"/>
        <w:ind w:firstLine="642"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一是视听产业发展速度迟缓。</w:t>
      </w:r>
      <w:r>
        <w:rPr>
          <w:rFonts w:hint="eastAsia" w:ascii="仿宋_GB2312" w:hAnsi="仿宋_GB2312" w:eastAsia="仿宋_GB2312" w:cs="仿宋_GB2312"/>
          <w:color w:val="auto"/>
          <w:sz w:val="32"/>
          <w:szCs w:val="32"/>
        </w:rPr>
        <w:t>行业收入</w:t>
      </w:r>
      <w:r>
        <w:rPr>
          <w:rFonts w:hint="eastAsia" w:ascii="仿宋_GB2312" w:hAnsi="仿宋_GB2312" w:eastAsia="仿宋_GB2312" w:cs="仿宋_GB2312"/>
          <w:color w:val="auto"/>
          <w:sz w:val="32"/>
          <w:szCs w:val="32"/>
          <w:lang w:eastAsia="zh-CN"/>
        </w:rPr>
        <w:t>、机构数量、从业人员等总量、体量较小，发展总体缓慢。</w:t>
      </w:r>
    </w:p>
    <w:p>
      <w:pPr>
        <w:spacing w:line="6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二是视听机构小散弱，产业链尚不完备。</w:t>
      </w:r>
      <w:r>
        <w:rPr>
          <w:rFonts w:hint="eastAsia" w:ascii="仿宋_GB2312" w:hAnsi="仿宋_GB2312" w:eastAsia="仿宋_GB2312" w:cs="仿宋_GB2312"/>
          <w:color w:val="auto"/>
          <w:sz w:val="32"/>
          <w:szCs w:val="32"/>
        </w:rPr>
        <w:t>区域发展不均衡，行业整体对外缺乏吸引力，全省视听产业链发展不</w:t>
      </w:r>
      <w:r>
        <w:rPr>
          <w:rFonts w:hint="eastAsia" w:ascii="仿宋_GB2312" w:hAnsi="仿宋_GB2312" w:eastAsia="仿宋_GB2312" w:cs="仿宋_GB2312"/>
          <w:color w:val="auto"/>
          <w:sz w:val="32"/>
          <w:szCs w:val="32"/>
          <w:lang w:eastAsia="zh-CN"/>
        </w:rPr>
        <w:t>完整</w:t>
      </w:r>
      <w:r>
        <w:rPr>
          <w:rFonts w:hint="eastAsia" w:ascii="仿宋_GB2312" w:hAnsi="仿宋_GB2312" w:eastAsia="仿宋_GB2312" w:cs="仿宋_GB2312"/>
          <w:color w:val="auto"/>
          <w:sz w:val="32"/>
          <w:szCs w:val="32"/>
        </w:rPr>
        <w:t>，制约了产业整体发展水平和发展速度。</w:t>
      </w:r>
    </w:p>
    <w:p>
      <w:pPr>
        <w:spacing w:line="6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三是产业协同发展生态尚不健全，配套服务市场化程度低。</w:t>
      </w:r>
      <w:r>
        <w:rPr>
          <w:rFonts w:hint="eastAsia" w:ascii="仿宋_GB2312" w:hAnsi="仿宋_GB2312" w:eastAsia="仿宋_GB2312" w:cs="仿宋_GB2312"/>
          <w:color w:val="auto"/>
          <w:sz w:val="32"/>
          <w:szCs w:val="32"/>
          <w:lang w:eastAsia="zh-CN"/>
        </w:rPr>
        <w:t>聚合程度不高，</w:t>
      </w:r>
      <w:r>
        <w:rPr>
          <w:rFonts w:hint="eastAsia" w:ascii="仿宋_GB2312" w:hAnsi="仿宋_GB2312" w:eastAsia="仿宋_GB2312" w:cs="仿宋_GB2312"/>
          <w:color w:val="auto"/>
          <w:sz w:val="32"/>
          <w:szCs w:val="32"/>
        </w:rPr>
        <w:t>基础平台支撑能力不足，产业配套服务市场化程度低，产业配套服务亟待完善。</w:t>
      </w:r>
    </w:p>
    <w:p>
      <w:pPr>
        <w:spacing w:line="6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四是技术赋能作用不显著，“视听+”创新应用场景仍需拓展。</w:t>
      </w:r>
      <w:r>
        <w:rPr>
          <w:rFonts w:hint="eastAsia" w:ascii="仿宋_GB2312" w:hAnsi="仿宋_GB2312" w:eastAsia="仿宋_GB2312" w:cs="仿宋_GB2312"/>
          <w:color w:val="auto"/>
          <w:sz w:val="32"/>
          <w:szCs w:val="32"/>
        </w:rPr>
        <w:t>人工智能、5G、云计算等新一代信息技术与视听产业融合应用不足，</w:t>
      </w:r>
      <w:r>
        <w:rPr>
          <w:rFonts w:ascii="Nimbus Roman No9 L" w:hAnsi="Nimbus Roman No9 L" w:eastAsia="仿宋_GB2312" w:cs="Nimbus Roman No9 L"/>
          <w:color w:val="auto"/>
          <w:sz w:val="32"/>
          <w:szCs w:val="32"/>
        </w:rPr>
        <w:t>科技创新链与</w:t>
      </w:r>
      <w:r>
        <w:rPr>
          <w:rFonts w:hint="eastAsia" w:ascii="Nimbus Roman No9 L" w:hAnsi="Nimbus Roman No9 L" w:eastAsia="仿宋_GB2312" w:cs="Nimbus Roman No9 L"/>
          <w:color w:val="auto"/>
          <w:sz w:val="32"/>
          <w:szCs w:val="32"/>
        </w:rPr>
        <w:t>视听</w:t>
      </w:r>
      <w:r>
        <w:rPr>
          <w:rFonts w:ascii="Nimbus Roman No9 L" w:hAnsi="Nimbus Roman No9 L" w:eastAsia="仿宋_GB2312" w:cs="Nimbus Roman No9 L"/>
          <w:color w:val="auto"/>
          <w:sz w:val="32"/>
          <w:szCs w:val="32"/>
        </w:rPr>
        <w:t>产业链尚未形成有效对接，文化科技融合的自主创新能力有待进一步加强，</w:t>
      </w:r>
      <w:r>
        <w:rPr>
          <w:rFonts w:hint="eastAsia" w:ascii="仿宋_GB2312" w:hAnsi="仿宋_GB2312" w:eastAsia="仿宋_GB2312" w:cs="仿宋_GB2312"/>
          <w:color w:val="auto"/>
          <w:sz w:val="32"/>
          <w:szCs w:val="32"/>
        </w:rPr>
        <w:t>没有形成具有市场竞争力的视听IP品牌。</w:t>
      </w:r>
    </w:p>
    <w:p>
      <w:pPr>
        <w:spacing w:line="6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五是头部企业和产业园区的带动集聚效应较弱。</w:t>
      </w:r>
      <w:r>
        <w:rPr>
          <w:rFonts w:hint="eastAsia" w:ascii="仿宋_GB2312" w:hAnsi="仿宋_GB2312" w:eastAsia="仿宋_GB2312" w:cs="仿宋_GB2312"/>
          <w:color w:val="auto"/>
          <w:sz w:val="32"/>
          <w:szCs w:val="32"/>
        </w:rPr>
        <w:t>缺乏“链主”企业和头部企业，</w:t>
      </w:r>
      <w:r>
        <w:rPr>
          <w:rFonts w:hint="eastAsia" w:ascii="仿宋_GB2312" w:hAnsi="仿宋_GB2312" w:eastAsia="仿宋_GB2312" w:cs="仿宋_GB2312"/>
          <w:color w:val="auto"/>
          <w:sz w:val="32"/>
          <w:szCs w:val="32"/>
          <w:lang w:eastAsia="zh-CN"/>
        </w:rPr>
        <w:t>没有</w:t>
      </w:r>
      <w:r>
        <w:rPr>
          <w:rFonts w:hint="eastAsia" w:ascii="仿宋_GB2312" w:hAnsi="仿宋_GB2312" w:eastAsia="仿宋_GB2312" w:cs="仿宋_GB2312"/>
          <w:color w:val="auto"/>
          <w:sz w:val="32"/>
          <w:szCs w:val="32"/>
        </w:rPr>
        <w:t>国家级视听产业园区，产业集聚效应</w:t>
      </w:r>
      <w:r>
        <w:rPr>
          <w:rFonts w:hint="eastAsia" w:ascii="仿宋_GB2312" w:hAnsi="仿宋_GB2312" w:eastAsia="仿宋_GB2312" w:cs="仿宋_GB2312"/>
          <w:color w:val="auto"/>
          <w:sz w:val="32"/>
          <w:szCs w:val="32"/>
          <w:lang w:eastAsia="zh-CN"/>
        </w:rPr>
        <w:t>较低</w:t>
      </w:r>
      <w:r>
        <w:rPr>
          <w:rFonts w:hint="eastAsia" w:ascii="仿宋_GB2312" w:hAnsi="仿宋_GB2312" w:eastAsia="仿宋_GB2312" w:cs="仿宋_GB2312"/>
          <w:color w:val="auto"/>
          <w:sz w:val="32"/>
          <w:szCs w:val="32"/>
        </w:rPr>
        <w:t>，影响了整体竞争力的提升。</w:t>
      </w:r>
    </w:p>
    <w:p>
      <w:pPr>
        <w:spacing w:line="600" w:lineRule="exact"/>
        <w:ind w:firstLine="640" w:firstLineChars="200"/>
        <w:outlineLvl w:val="0"/>
        <w:rPr>
          <w:rFonts w:hint="eastAsia" w:ascii="黑体" w:hAnsi="黑体" w:eastAsia="黑体" w:cs="黑体"/>
          <w:color w:val="auto"/>
          <w:sz w:val="32"/>
          <w:szCs w:val="32"/>
        </w:rPr>
      </w:pPr>
      <w:bookmarkStart w:id="5" w:name="_Toc177654480"/>
      <w:r>
        <w:rPr>
          <w:rFonts w:hint="eastAsia" w:ascii="黑体" w:hAnsi="黑体" w:eastAsia="黑体" w:cs="黑体"/>
          <w:color w:val="auto"/>
          <w:sz w:val="32"/>
          <w:szCs w:val="32"/>
        </w:rPr>
        <w:t>二、总体要求</w:t>
      </w:r>
      <w:bookmarkEnd w:id="5"/>
    </w:p>
    <w:p>
      <w:pPr>
        <w:spacing w:line="600" w:lineRule="exact"/>
        <w:ind w:firstLine="640" w:firstLineChars="200"/>
        <w:outlineLvl w:val="1"/>
        <w:rPr>
          <w:rFonts w:hint="eastAsia" w:ascii="楷体_GB2312" w:hAnsi="楷体_GB2312" w:eastAsia="楷体_GB2312" w:cs="楷体_GB2312"/>
          <w:color w:val="auto"/>
          <w:sz w:val="32"/>
          <w:szCs w:val="32"/>
        </w:rPr>
      </w:pPr>
      <w:bookmarkStart w:id="6" w:name="_Toc4423"/>
      <w:bookmarkStart w:id="7" w:name="_Toc177654481"/>
      <w:r>
        <w:rPr>
          <w:rFonts w:hint="eastAsia" w:ascii="楷体_GB2312" w:hAnsi="楷体_GB2312" w:eastAsia="楷体_GB2312" w:cs="楷体_GB2312"/>
          <w:color w:val="auto"/>
          <w:sz w:val="32"/>
          <w:szCs w:val="32"/>
        </w:rPr>
        <w:t>（一）</w:t>
      </w:r>
      <w:bookmarkEnd w:id="6"/>
      <w:r>
        <w:rPr>
          <w:rFonts w:hint="eastAsia" w:ascii="楷体_GB2312" w:hAnsi="楷体_GB2312" w:eastAsia="楷体_GB2312" w:cs="楷体_GB2312"/>
          <w:color w:val="auto"/>
          <w:sz w:val="32"/>
          <w:szCs w:val="32"/>
        </w:rPr>
        <w:t>指导思想</w:t>
      </w:r>
      <w:bookmarkEnd w:id="7"/>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以习近平新时代中国特色社会主义思想为指导，贯彻落实党的二十大和二十届二中、三中全会精神，深入贯彻落实习近平文化思想和习近平总书记考察云南重要讲话精神，立足新发展阶段，完整、准确、全面贯彻新发展理念，融入新发展格局，牢牢把握云南面向南亚东南亚辐射中心定位，以社会主义核心价值观为引领，以改革创新为动力，以推动全省广播电视和网络视听产业高质量发展为主线，强化政策引导、优化资源配置、健全市场体系、培育新型业态和消费模式，大力促进以视听产业为载体的数字经济发展和未来产业发展，加强面向南亚东南亚国际传播能力建设，为谱写中国式现代化云南篇章作出新的更大贡献。</w:t>
      </w:r>
    </w:p>
    <w:p>
      <w:pPr>
        <w:spacing w:line="600" w:lineRule="exact"/>
        <w:ind w:firstLine="640" w:firstLineChars="200"/>
        <w:outlineLvl w:val="1"/>
        <w:rPr>
          <w:rFonts w:hint="eastAsia" w:ascii="楷体_GB2312" w:hAnsi="楷体_GB2312" w:eastAsia="楷体_GB2312" w:cs="楷体_GB2312"/>
          <w:color w:val="auto"/>
          <w:sz w:val="32"/>
          <w:szCs w:val="32"/>
        </w:rPr>
      </w:pPr>
      <w:bookmarkStart w:id="8" w:name="_Toc177654482"/>
      <w:r>
        <w:rPr>
          <w:rFonts w:hint="eastAsia" w:ascii="楷体_GB2312" w:hAnsi="楷体_GB2312" w:eastAsia="楷体_GB2312" w:cs="楷体_GB2312"/>
          <w:color w:val="auto"/>
          <w:sz w:val="32"/>
          <w:szCs w:val="32"/>
        </w:rPr>
        <w:t>（二）基本原则</w:t>
      </w:r>
      <w:bookmarkEnd w:id="8"/>
    </w:p>
    <w:p>
      <w:pPr>
        <w:spacing w:line="6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坚持正确导向。</w:t>
      </w:r>
      <w:r>
        <w:rPr>
          <w:rFonts w:hint="eastAsia" w:ascii="仿宋_GB2312" w:hAnsi="仿宋_GB2312" w:eastAsia="仿宋_GB2312" w:cs="仿宋_GB2312"/>
          <w:color w:val="auto"/>
          <w:sz w:val="32"/>
          <w:szCs w:val="32"/>
        </w:rPr>
        <w:t>强化政治引领，牢牢把握正确政治方向、舆论导向、价值取向，坚定文化自信自强，推动中华优秀传统文化创造性转化、创新性发展，大力推动云南民族文化、历史文化、非遗文化、红色文化等焕发新的生机活力，实现社会效益与经济效益相统一。</w:t>
      </w:r>
    </w:p>
    <w:p>
      <w:pPr>
        <w:spacing w:line="6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坚持创新驱动。</w:t>
      </w:r>
      <w:r>
        <w:rPr>
          <w:rFonts w:hint="eastAsia" w:ascii="仿宋_GB2312" w:hAnsi="仿宋_GB2312" w:eastAsia="仿宋_GB2312" w:cs="仿宋_GB2312"/>
          <w:color w:val="auto"/>
          <w:sz w:val="32"/>
          <w:szCs w:val="32"/>
        </w:rPr>
        <w:t>着眼重点领域和关键环节，推动技术迭代升级，为产业高质量发展夯实技术底座。把创新摆在更加突出位置，以科技创新为引擎，推动视听产业创新链、技术链、价值链、供应链、服务链贯通发展。</w:t>
      </w:r>
    </w:p>
    <w:p>
      <w:pPr>
        <w:spacing w:line="6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坚持应用牵引。</w:t>
      </w:r>
      <w:r>
        <w:rPr>
          <w:rFonts w:hint="eastAsia" w:ascii="仿宋_GB2312" w:hAnsi="仿宋_GB2312" w:eastAsia="仿宋_GB2312" w:cs="仿宋_GB2312"/>
          <w:color w:val="auto"/>
          <w:sz w:val="32"/>
          <w:szCs w:val="32"/>
        </w:rPr>
        <w:t>统筹供给和需求两个维度，以应用场景与重大项目建设为牵引，重点发展5G超高清、生成式人工智能、虚拟现实等新技术产业，开拓壮大产业集群、培育新兴产业生态，激发云南视听产业发展内生动力。</w:t>
      </w:r>
    </w:p>
    <w:p>
      <w:pPr>
        <w:spacing w:line="6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坚持开放合作。</w:t>
      </w:r>
      <w:r>
        <w:rPr>
          <w:rFonts w:hint="eastAsia" w:ascii="仿宋_GB2312" w:hAnsi="仿宋_GB2312" w:eastAsia="仿宋_GB2312" w:cs="仿宋_GB2312"/>
          <w:color w:val="auto"/>
          <w:sz w:val="32"/>
          <w:szCs w:val="32"/>
        </w:rPr>
        <w:t>主动服务和融入国家发展大局，对内把握区域协调发展战略，加快区域产业合作；对外积极参与“一带一路”建设，打造外向型视听产业发展模式，建设面向南亚东南亚辐射的视听产业高地。</w:t>
      </w:r>
    </w:p>
    <w:p>
      <w:pPr>
        <w:spacing w:line="6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坚持提质升级。</w:t>
      </w:r>
      <w:r>
        <w:rPr>
          <w:rFonts w:hint="eastAsia" w:ascii="仿宋_GB2312" w:hAnsi="仿宋_GB2312" w:eastAsia="仿宋_GB2312" w:cs="仿宋_GB2312"/>
          <w:color w:val="auto"/>
          <w:sz w:val="32"/>
          <w:szCs w:val="32"/>
        </w:rPr>
        <w:t>深入贯彻新发展理念，推动融合发展、全产业链贯通发展和高质量发展，培育产业竞争新优势，探索产业发展新模式，促进云南大视听产业提质升级。</w:t>
      </w:r>
    </w:p>
    <w:p>
      <w:pPr>
        <w:spacing w:line="600" w:lineRule="exact"/>
        <w:ind w:firstLine="640" w:firstLineChars="200"/>
        <w:outlineLvl w:val="1"/>
        <w:rPr>
          <w:rFonts w:hint="eastAsia" w:ascii="楷体_GB2312" w:hAnsi="楷体_GB2312" w:eastAsia="楷体_GB2312" w:cs="楷体_GB2312"/>
          <w:color w:val="auto"/>
          <w:sz w:val="32"/>
          <w:szCs w:val="32"/>
          <w:lang w:eastAsia="zh-CN"/>
        </w:rPr>
      </w:pPr>
      <w:bookmarkStart w:id="9" w:name="_Toc177654483"/>
      <w:r>
        <w:rPr>
          <w:rFonts w:hint="eastAsia" w:ascii="楷体_GB2312" w:hAnsi="楷体_GB2312" w:eastAsia="楷体_GB2312" w:cs="楷体_GB2312"/>
          <w:color w:val="auto"/>
          <w:sz w:val="32"/>
          <w:szCs w:val="32"/>
        </w:rPr>
        <w:t>（三）发展</w:t>
      </w:r>
      <w:bookmarkEnd w:id="9"/>
      <w:r>
        <w:rPr>
          <w:rFonts w:hint="eastAsia" w:ascii="楷体_GB2312" w:hAnsi="楷体_GB2312" w:eastAsia="楷体_GB2312" w:cs="楷体_GB2312"/>
          <w:color w:val="auto"/>
          <w:sz w:val="32"/>
          <w:szCs w:val="32"/>
          <w:lang w:eastAsia="zh-CN"/>
        </w:rPr>
        <w:t>思路</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锚定“3815”战略发展目标，深刻把握新时代云南“边疆、民族、山区、美丽”的省情内涵，抢抓云南经济社会发展机遇以及新一轮科技革命和产业变革机遇，主动服务和融入民族团结进步示范区建设、生态文明建设排头兵创建、面向南亚东南亚辐射中心建设重点工作，立足西南地区视听内容制作中心、区域视听科技创新应用中心、视听产业融合发展示范中心、面向南亚东南亚视听辐射中心的</w:t>
      </w:r>
      <w:r>
        <w:rPr>
          <w:rFonts w:hint="eastAsia" w:ascii="仿宋_GB2312" w:hAnsi="仿宋_GB2312" w:eastAsia="仿宋_GB2312" w:cs="仿宋_GB2312"/>
          <w:b/>
          <w:bCs/>
          <w:color w:val="auto"/>
          <w:sz w:val="32"/>
          <w:szCs w:val="32"/>
        </w:rPr>
        <w:t>“四个中心”</w:t>
      </w:r>
      <w:r>
        <w:rPr>
          <w:rFonts w:hint="eastAsia" w:ascii="仿宋_GB2312" w:hAnsi="仿宋_GB2312" w:eastAsia="仿宋_GB2312" w:cs="仿宋_GB2312"/>
          <w:color w:val="auto"/>
          <w:sz w:val="32"/>
          <w:szCs w:val="32"/>
        </w:rPr>
        <w:t>发展定位，坚持内容产业为主体，强化“科技+”赋能，拓展“视听+”应用的</w:t>
      </w:r>
      <w:r>
        <w:rPr>
          <w:rFonts w:hint="eastAsia" w:ascii="仿宋_GB2312" w:hAnsi="仿宋_GB2312" w:eastAsia="仿宋_GB2312" w:cs="仿宋_GB2312"/>
          <w:b/>
          <w:bCs/>
          <w:color w:val="auto"/>
          <w:sz w:val="32"/>
          <w:szCs w:val="32"/>
        </w:rPr>
        <w:t>“一体两翼”</w:t>
      </w:r>
      <w:r>
        <w:rPr>
          <w:rFonts w:hint="eastAsia" w:ascii="仿宋_GB2312" w:hAnsi="仿宋_GB2312" w:eastAsia="仿宋_GB2312" w:cs="仿宋_GB2312"/>
          <w:color w:val="auto"/>
          <w:sz w:val="32"/>
          <w:szCs w:val="32"/>
        </w:rPr>
        <w:t>发展策略，完善以昆明为核心、辐射带动玉溪、曲靖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红河等城市的</w:t>
      </w:r>
      <w:r>
        <w:rPr>
          <w:rFonts w:hint="eastAsia" w:ascii="仿宋_GB2312" w:hAnsi="仿宋_GB2312" w:eastAsia="仿宋_GB2312" w:cs="仿宋_GB2312"/>
          <w:b/>
          <w:bCs/>
          <w:color w:val="auto"/>
          <w:sz w:val="32"/>
          <w:szCs w:val="32"/>
        </w:rPr>
        <w:t>“一核多点”</w:t>
      </w:r>
      <w:r>
        <w:rPr>
          <w:rFonts w:hint="eastAsia" w:ascii="仿宋_GB2312" w:hAnsi="仿宋_GB2312" w:eastAsia="仿宋_GB2312" w:cs="仿宋_GB2312"/>
          <w:color w:val="auto"/>
          <w:sz w:val="32"/>
          <w:szCs w:val="32"/>
        </w:rPr>
        <w:t>视听产业发展空间布局，部署实施培育壮大内容产业优势、突破技术产业重点环节、强化“视听+”产业融合应用、推动产业集聚创新发展、提升国际传播辐射能力等</w:t>
      </w:r>
      <w:r>
        <w:rPr>
          <w:rFonts w:hint="eastAsia" w:ascii="仿宋_GB2312" w:hAnsi="仿宋_GB2312" w:eastAsia="仿宋_GB2312" w:cs="仿宋_GB2312"/>
          <w:b/>
          <w:bCs/>
          <w:color w:val="auto"/>
          <w:sz w:val="32"/>
          <w:szCs w:val="32"/>
        </w:rPr>
        <w:t>五大任务</w:t>
      </w:r>
      <w:r>
        <w:rPr>
          <w:rFonts w:hint="eastAsia" w:ascii="仿宋_GB2312" w:hAnsi="仿宋_GB2312" w:eastAsia="仿宋_GB2312" w:cs="仿宋_GB2312"/>
          <w:color w:val="auto"/>
          <w:sz w:val="32"/>
          <w:szCs w:val="32"/>
        </w:rPr>
        <w:t>，加快推进广播电视和网络视听产业链补链、强链、延链，加速培育视听产业新质生产力，构建民族化、国际化、特色化、辐射南亚东南亚的现代化视听产业发展格局，建立区域竞争优势，打造云南数字经济发展新的增长极，为开创新时代云南社会主义现代化建设新局面作出重要贡献。</w:t>
      </w:r>
    </w:p>
    <w:p>
      <w:pPr>
        <w:spacing w:line="600" w:lineRule="exact"/>
        <w:ind w:firstLine="640" w:firstLineChars="200"/>
        <w:outlineLvl w:val="1"/>
        <w:rPr>
          <w:rFonts w:hint="eastAsia" w:ascii="楷体_GB2312" w:hAnsi="楷体_GB2312" w:eastAsia="楷体_GB2312" w:cs="楷体_GB2312"/>
          <w:color w:val="auto"/>
          <w:sz w:val="32"/>
          <w:szCs w:val="32"/>
        </w:rPr>
      </w:pPr>
      <w:bookmarkStart w:id="10" w:name="_Toc177654484"/>
      <w:r>
        <w:rPr>
          <w:rFonts w:hint="eastAsia" w:ascii="楷体_GB2312" w:hAnsi="楷体_GB2312" w:eastAsia="楷体_GB2312" w:cs="楷体_GB2312"/>
          <w:color w:val="auto"/>
          <w:sz w:val="32"/>
          <w:szCs w:val="32"/>
        </w:rPr>
        <w:t>（四）发展目标</w:t>
      </w:r>
      <w:bookmarkEnd w:id="10"/>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未来三年，广播电视和网络视听产业基础不断筑牢、产业生态持续完善，基本形成产业链条完备、内容特色鲜明、区域竞争力影响力不断增强、对外辐射效应初步显现的发展格局。澜湄视听产业园二期、三期工程基本建设完成并投入运营，完成国家广播电视和网络视听产业基地（园区）申报。全省大视听产业总收入达500亿元，其中核心产业收入</w:t>
      </w:r>
      <w:r>
        <w:rPr>
          <w:rStyle w:val="27"/>
          <w:rFonts w:ascii="仿宋_GB2312" w:hAnsi="仿宋_GB2312" w:eastAsia="仿宋_GB2312" w:cs="仿宋_GB2312"/>
          <w:color w:val="auto"/>
          <w:sz w:val="32"/>
          <w:szCs w:val="32"/>
        </w:rPr>
        <w:footnoteReference w:id="0"/>
      </w:r>
      <w:r>
        <w:rPr>
          <w:rFonts w:hint="eastAsia" w:ascii="仿宋_GB2312" w:hAnsi="仿宋_GB2312" w:eastAsia="仿宋_GB2312" w:cs="仿宋_GB2312"/>
          <w:color w:val="auto"/>
          <w:sz w:val="32"/>
          <w:szCs w:val="32"/>
        </w:rPr>
        <w:t>达100亿元</w:t>
      </w:r>
      <w:r>
        <w:rPr>
          <w:rStyle w:val="27"/>
          <w:rFonts w:ascii="仿宋_GB2312" w:hAnsi="仿宋_GB2312" w:eastAsia="仿宋_GB2312" w:cs="仿宋_GB2312"/>
          <w:color w:val="auto"/>
          <w:sz w:val="32"/>
          <w:szCs w:val="32"/>
        </w:rPr>
        <w:footnoteReference w:id="1"/>
      </w:r>
      <w:r>
        <w:rPr>
          <w:rFonts w:hint="eastAsia" w:ascii="仿宋_GB2312" w:hAnsi="仿宋_GB2312" w:eastAsia="仿宋_GB2312" w:cs="仿宋_GB2312"/>
          <w:color w:val="auto"/>
          <w:sz w:val="32"/>
          <w:szCs w:val="32"/>
        </w:rPr>
        <w:t>。引进“20+”优质视听内容和技术企业，集聚“600+”视听产业链企业，规模以上企业数量超过7</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家。</w:t>
      </w:r>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到2030年，广播电视和网络视听产业规模化、特色化、国际化发展成效显著，产业规模不断壮大、产业韧性不断增强、内容创意及技术创新能力不断提升、国际传播和对外辐射能力大幅增强，大视听全产业链发展格局基本形成。云南作为中国视听内容及技术面向南亚东南亚传播辐射的大通道作用不断凸显。形成以澜湄视听产业园为中心，N个产业园区协同发展的“1+N”产业园区布局，“双千”目标基本实现，全省大视听产业总收入达1000亿元，其中核心产业收入达200亿元。引进“50+”优质视听内容和技术企业，视听产业链企业数量超过1</w:t>
      </w:r>
      <w:r>
        <w:rPr>
          <w:rFonts w:ascii="仿宋_GB2312" w:hAnsi="仿宋_GB2312" w:eastAsia="仿宋_GB2312" w:cs="仿宋_GB2312"/>
          <w:color w:val="auto"/>
          <w:sz w:val="32"/>
          <w:szCs w:val="32"/>
        </w:rPr>
        <w:t>000</w:t>
      </w:r>
      <w:r>
        <w:rPr>
          <w:rFonts w:hint="eastAsia" w:ascii="仿宋_GB2312" w:hAnsi="仿宋_GB2312" w:eastAsia="仿宋_GB2312" w:cs="仿宋_GB2312"/>
          <w:color w:val="auto"/>
          <w:sz w:val="32"/>
          <w:szCs w:val="32"/>
        </w:rPr>
        <w:t>家，规模以上企业数量超过</w:t>
      </w:r>
      <w:r>
        <w:rPr>
          <w:rFonts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0</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家。</w:t>
      </w:r>
    </w:p>
    <w:p>
      <w:pPr>
        <w:spacing w:line="600" w:lineRule="exact"/>
        <w:ind w:firstLine="640" w:firstLineChars="200"/>
        <w:outlineLvl w:val="0"/>
        <w:rPr>
          <w:rFonts w:hint="eastAsia" w:ascii="黑体" w:hAnsi="黑体" w:eastAsia="黑体" w:cs="黑体"/>
          <w:color w:val="auto"/>
          <w:sz w:val="32"/>
          <w:szCs w:val="32"/>
        </w:rPr>
      </w:pPr>
      <w:bookmarkStart w:id="11" w:name="_Toc714"/>
      <w:bookmarkStart w:id="12" w:name="_Toc177654485"/>
      <w:r>
        <w:rPr>
          <w:rFonts w:hint="eastAsia" w:ascii="黑体" w:hAnsi="黑体" w:eastAsia="黑体" w:cs="黑体"/>
          <w:color w:val="auto"/>
          <w:sz w:val="32"/>
          <w:szCs w:val="32"/>
        </w:rPr>
        <w:t>三、主要任务</w:t>
      </w:r>
      <w:bookmarkEnd w:id="11"/>
      <w:r>
        <w:rPr>
          <w:rFonts w:hint="eastAsia" w:ascii="黑体" w:hAnsi="黑体" w:eastAsia="黑体" w:cs="黑体"/>
          <w:color w:val="auto"/>
          <w:sz w:val="32"/>
          <w:szCs w:val="32"/>
        </w:rPr>
        <w:t>和重点工程</w:t>
      </w:r>
      <w:bookmarkEnd w:id="12"/>
    </w:p>
    <w:p>
      <w:pPr>
        <w:spacing w:line="600" w:lineRule="exact"/>
        <w:ind w:firstLine="640" w:firstLineChars="200"/>
        <w:outlineLvl w:val="1"/>
        <w:rPr>
          <w:rFonts w:hint="eastAsia" w:ascii="仿宋_GB2312" w:hAnsi="仿宋_GB2312" w:eastAsia="楷体_GB2312" w:cs="仿宋_GB2312"/>
          <w:color w:val="auto"/>
          <w:sz w:val="32"/>
          <w:szCs w:val="32"/>
        </w:rPr>
      </w:pPr>
      <w:bookmarkStart w:id="13" w:name="_Toc177654486"/>
      <w:r>
        <w:rPr>
          <w:rFonts w:hint="eastAsia" w:ascii="楷体_GB2312" w:hAnsi="楷体_GB2312" w:eastAsia="楷体_GB2312" w:cs="楷体_GB2312"/>
          <w:color w:val="auto"/>
          <w:sz w:val="32"/>
          <w:szCs w:val="32"/>
        </w:rPr>
        <w:t>（一）着重发展内容产业，夯实视听产业发展根基</w:t>
      </w:r>
      <w:bookmarkEnd w:id="13"/>
    </w:p>
    <w:p>
      <w:pPr>
        <w:spacing w:line="6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1.壮大内容产业优势。</w:t>
      </w:r>
      <w:r>
        <w:rPr>
          <w:rFonts w:hint="eastAsia" w:ascii="仿宋_GB2312" w:hAnsi="仿宋_GB2312" w:eastAsia="仿宋_GB2312" w:cs="仿宋_GB2312"/>
          <w:color w:val="auto"/>
          <w:sz w:val="32"/>
          <w:szCs w:val="32"/>
        </w:rPr>
        <w:t>依托云南历史、文化、民族、自然等优势资源，做大做优视听内容市场，提升视听内容产量，健全完善视听内容产业链。推动建立全省影视项目库、精品项目库，加快推动政策、资金和优质视听项目的良性互动。</w:t>
      </w:r>
    </w:p>
    <w:p>
      <w:pPr>
        <w:spacing w:line="6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2.优化内容创作环境。</w:t>
      </w:r>
      <w:r>
        <w:rPr>
          <w:rFonts w:hint="eastAsia" w:ascii="仿宋_GB2312" w:hAnsi="仿宋_GB2312" w:eastAsia="仿宋_GB2312" w:cs="仿宋_GB2312"/>
          <w:color w:val="auto"/>
          <w:sz w:val="32"/>
          <w:szCs w:val="32"/>
        </w:rPr>
        <w:t>推动全省影视摄影棚、城市实景、自然文旅景观等相关资源的优势互补和整合，构建规范化、标准化、国际化的影视制作服务体系, 营造云南优质的内容创作环境，带动文创、旅游等关联产业联动发展。</w:t>
      </w:r>
    </w:p>
    <w:p>
      <w:pPr>
        <w:spacing w:line="600" w:lineRule="exact"/>
        <w:ind w:firstLine="642" w:firstLineChars="200"/>
        <w:rPr>
          <w:rFonts w:hint="eastAsia" w:ascii="楷体_GB2312" w:hAnsi="楷体_GB2312" w:eastAsia="楷体_GB2312" w:cs="楷体_GB2312"/>
          <w:color w:val="auto"/>
          <w:sz w:val="32"/>
          <w:szCs w:val="32"/>
          <w:lang w:bidi="ar"/>
        </w:rPr>
      </w:pPr>
      <w:r>
        <w:rPr>
          <w:rFonts w:hint="eastAsia" w:ascii="仿宋_GB2312" w:hAnsi="仿宋_GB2312" w:eastAsia="仿宋_GB2312" w:cs="仿宋_GB2312"/>
          <w:b/>
          <w:bCs/>
          <w:color w:val="auto"/>
          <w:sz w:val="32"/>
          <w:szCs w:val="32"/>
        </w:rPr>
        <w:t>3.拓展传播推广渠道。</w:t>
      </w:r>
      <w:r>
        <w:rPr>
          <w:rFonts w:hint="eastAsia" w:ascii="仿宋_GB2312" w:hAnsi="仿宋_GB2312" w:eastAsia="仿宋_GB2312" w:cs="仿宋_GB2312"/>
          <w:color w:val="auto"/>
          <w:sz w:val="32"/>
          <w:szCs w:val="32"/>
        </w:rPr>
        <w:t>推动多元化视听内容传播体系建设，建立多渠道、多平台、多语言的立体传播格局。</w:t>
      </w:r>
    </w:p>
    <w:p>
      <w:pPr>
        <w:spacing w:line="600" w:lineRule="exact"/>
        <w:ind w:firstLine="640" w:firstLineChars="200"/>
        <w:outlineLvl w:val="1"/>
        <w:rPr>
          <w:rFonts w:hint="eastAsia" w:ascii="楷体_GB2312" w:hAnsi="楷体_GB2312" w:eastAsia="楷体_GB2312" w:cs="楷体_GB2312"/>
          <w:color w:val="auto"/>
          <w:sz w:val="32"/>
          <w:szCs w:val="32"/>
        </w:rPr>
      </w:pPr>
      <w:bookmarkStart w:id="14" w:name="_Toc160107691"/>
      <w:bookmarkStart w:id="15" w:name="_Toc177654487"/>
      <w:r>
        <w:rPr>
          <w:rFonts w:hint="eastAsia" w:ascii="楷体_GB2312" w:hAnsi="楷体_GB2312" w:eastAsia="楷体_GB2312" w:cs="楷体_GB2312"/>
          <w:color w:val="auto"/>
          <w:sz w:val="32"/>
          <w:szCs w:val="32"/>
        </w:rPr>
        <w:t>（二）</w:t>
      </w:r>
      <w:bookmarkEnd w:id="14"/>
      <w:r>
        <w:rPr>
          <w:rFonts w:hint="eastAsia" w:ascii="楷体_GB2312" w:hAnsi="楷体_GB2312" w:eastAsia="楷体_GB2312" w:cs="楷体_GB2312"/>
          <w:color w:val="auto"/>
          <w:sz w:val="32"/>
          <w:szCs w:val="32"/>
        </w:rPr>
        <w:t>坚持技术创新驱动，塑造发展新优势新动能</w:t>
      </w:r>
      <w:bookmarkEnd w:id="15"/>
    </w:p>
    <w:p>
      <w:pPr>
        <w:spacing w:line="600" w:lineRule="exact"/>
        <w:ind w:firstLine="642" w:firstLineChars="200"/>
        <w:rPr>
          <w:rFonts w:hint="eastAsia" w:ascii="仿宋_GB2312" w:hAnsi="仿宋_GB2312" w:eastAsia="仿宋_GB2312" w:cs="仿宋_GB2312"/>
          <w:color w:val="auto"/>
          <w:sz w:val="32"/>
          <w:szCs w:val="32"/>
        </w:rPr>
      </w:pPr>
      <w:bookmarkStart w:id="16" w:name="_Toc160107692"/>
      <w:r>
        <w:rPr>
          <w:rFonts w:hint="eastAsia" w:ascii="仿宋_GB2312" w:hAnsi="仿宋_GB2312" w:eastAsia="仿宋_GB2312" w:cs="仿宋_GB2312"/>
          <w:b/>
          <w:bCs/>
          <w:color w:val="auto"/>
          <w:sz w:val="32"/>
          <w:szCs w:val="32"/>
        </w:rPr>
        <w:t>1.发展高清/超高清电视。</w:t>
      </w:r>
      <w:r>
        <w:rPr>
          <w:rFonts w:hint="eastAsia" w:ascii="仿宋_GB2312" w:hAnsi="仿宋_GB2312" w:eastAsia="仿宋_GB2312" w:cs="仿宋_GB2312"/>
          <w:color w:val="auto"/>
          <w:sz w:val="32"/>
          <w:szCs w:val="32"/>
        </w:rPr>
        <w:t>深入推进高清电视频道建设， 推动超高清制播体系建设，大力推进超高清技术在全省广播电视和网络视听领域的应用普及。</w:t>
      </w:r>
    </w:p>
    <w:p>
      <w:pPr>
        <w:spacing w:line="600" w:lineRule="exact"/>
        <w:ind w:firstLine="642" w:firstLineChars="200"/>
        <w:rPr>
          <w:rFonts w:hint="eastAsia" w:ascii="楷体_GB2312" w:hAnsi="楷体_GB2312" w:eastAsia="楷体_GB2312" w:cs="楷体_GB2312"/>
          <w:color w:val="auto"/>
          <w:sz w:val="32"/>
          <w:szCs w:val="32"/>
          <w:lang w:bidi="ar"/>
        </w:rPr>
      </w:pPr>
      <w:r>
        <w:rPr>
          <w:rFonts w:hint="eastAsia" w:ascii="仿宋_GB2312" w:hAnsi="仿宋_GB2312" w:eastAsia="仿宋_GB2312" w:cs="仿宋_GB2312"/>
          <w:b/>
          <w:bCs/>
          <w:color w:val="auto"/>
          <w:sz w:val="32"/>
          <w:szCs w:val="32"/>
        </w:rPr>
        <w:t>2</w:t>
      </w:r>
      <w:r>
        <w:rPr>
          <w:rFonts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rPr>
        <w:t>拓展高新视听技术产业。</w:t>
      </w:r>
      <w:r>
        <w:rPr>
          <w:rFonts w:hint="eastAsia" w:ascii="仿宋_GB2312" w:hAnsi="仿宋_GB2312" w:eastAsia="仿宋_GB2312" w:cs="仿宋_GB2312"/>
          <w:color w:val="auto"/>
          <w:sz w:val="32"/>
          <w:szCs w:val="32"/>
        </w:rPr>
        <w:t>推进5G、人工智能等新一代信息技术与视听技术的融合应用创新，实施一批跨产业链、具有市场潜力的应用示范项目。</w:t>
      </w:r>
    </w:p>
    <w:p>
      <w:pPr>
        <w:spacing w:line="600" w:lineRule="exact"/>
        <w:ind w:firstLine="642" w:firstLineChars="200"/>
        <w:rPr>
          <w:rFonts w:ascii="仿宋_GB2312" w:hAnsi="仿宋_GB2312" w:eastAsia="仿宋_GB2312" w:cs="仿宋_GB2312"/>
          <w:color w:val="auto"/>
          <w:sz w:val="32"/>
          <w:szCs w:val="32"/>
        </w:rPr>
      </w:pPr>
      <w:r>
        <w:rPr>
          <w:rFonts w:ascii="仿宋_GB2312" w:hAnsi="仿宋_GB2312" w:eastAsia="仿宋_GB2312" w:cs="仿宋_GB2312"/>
          <w:b/>
          <w:bCs/>
          <w:color w:val="auto"/>
          <w:sz w:val="32"/>
          <w:szCs w:val="32"/>
        </w:rPr>
        <w:t>3.</w:t>
      </w:r>
      <w:r>
        <w:rPr>
          <w:rFonts w:hint="eastAsia" w:ascii="仿宋_GB2312" w:hAnsi="仿宋_GB2312" w:eastAsia="仿宋_GB2312" w:cs="仿宋_GB2312"/>
          <w:b/>
          <w:bCs/>
          <w:color w:val="auto"/>
          <w:sz w:val="32"/>
          <w:szCs w:val="32"/>
        </w:rPr>
        <w:t>优化视听产业基础支撑网络。</w:t>
      </w:r>
      <w:r>
        <w:rPr>
          <w:rFonts w:hint="eastAsia" w:ascii="仿宋_GB2312" w:hAnsi="仿宋_GB2312" w:eastAsia="仿宋_GB2312" w:cs="仿宋_GB2312"/>
          <w:color w:val="auto"/>
          <w:sz w:val="32"/>
          <w:szCs w:val="32"/>
        </w:rPr>
        <w:t>加快</w:t>
      </w:r>
      <w:r>
        <w:rPr>
          <w:rFonts w:ascii="仿宋_GB2312" w:hAnsi="仿宋_GB2312" w:eastAsia="仿宋_GB2312" w:cs="仿宋_GB2312"/>
          <w:color w:val="auto"/>
          <w:sz w:val="32"/>
          <w:szCs w:val="32"/>
        </w:rPr>
        <w:t>构建“云、网、端”架构的新型有线电视网络</w:t>
      </w:r>
      <w:r>
        <w:rPr>
          <w:rFonts w:hint="eastAsia" w:ascii="仿宋_GB2312" w:hAnsi="仿宋_GB2312" w:eastAsia="仿宋_GB2312" w:cs="仿宋_GB2312"/>
          <w:color w:val="auto"/>
          <w:sz w:val="32"/>
          <w:szCs w:val="32"/>
        </w:rPr>
        <w:t>，加强骨干网、城域网和接入网的改造升级，推进有线电视网络IP化和IPv6规模部署</w:t>
      </w:r>
      <w:r>
        <w:rPr>
          <w:rFonts w:ascii="仿宋_GB2312" w:hAnsi="仿宋_GB2312" w:eastAsia="仿宋_GB2312" w:cs="仿宋_GB2312"/>
          <w:color w:val="auto"/>
          <w:sz w:val="32"/>
          <w:szCs w:val="32"/>
        </w:rPr>
        <w:t>。</w:t>
      </w:r>
    </w:p>
    <w:p>
      <w:pPr>
        <w:spacing w:line="600" w:lineRule="exact"/>
        <w:ind w:firstLine="642" w:firstLineChars="200"/>
        <w:rPr>
          <w:rFonts w:hint="eastAsia" w:ascii="楷体_GB2312" w:hAnsi="楷体_GB2312" w:eastAsia="楷体_GB2312" w:cs="楷体_GB2312"/>
          <w:color w:val="auto"/>
          <w:sz w:val="32"/>
          <w:szCs w:val="32"/>
          <w:lang w:bidi="ar"/>
        </w:rPr>
      </w:pPr>
      <w:r>
        <w:rPr>
          <w:rFonts w:ascii="仿宋_GB2312" w:hAnsi="仿宋_GB2312" w:eastAsia="仿宋_GB2312" w:cs="仿宋_GB2312"/>
          <w:b/>
          <w:bCs/>
          <w:color w:val="auto"/>
          <w:sz w:val="32"/>
          <w:szCs w:val="32"/>
        </w:rPr>
        <w:t>4.</w:t>
      </w:r>
      <w:r>
        <w:rPr>
          <w:rFonts w:hint="eastAsia" w:ascii="仿宋_GB2312" w:hAnsi="仿宋_GB2312" w:eastAsia="仿宋_GB2312" w:cs="仿宋_GB2312"/>
          <w:b/>
          <w:bCs/>
          <w:color w:val="auto"/>
          <w:sz w:val="32"/>
          <w:szCs w:val="32"/>
        </w:rPr>
        <w:t>搭建视听产业赋能平台。</w:t>
      </w:r>
      <w:r>
        <w:rPr>
          <w:rFonts w:hint="eastAsia" w:ascii="仿宋_GB2312" w:hAnsi="仿宋_GB2312" w:eastAsia="仿宋_GB2312" w:cs="仿宋_GB2312"/>
          <w:color w:val="auto"/>
          <w:sz w:val="32"/>
          <w:szCs w:val="32"/>
        </w:rPr>
        <w:t>打造未来视听技术应用试验平台，建设云南视听媒体大模型，建设面向南亚、东南亚网络视听和智慧媒体应用实验室，打造智慧融媒体技术应用平台，搭建数字资产汇聚交易平台，搭建视听技术交流平台，</w:t>
      </w:r>
      <w:r>
        <w:rPr>
          <w:rFonts w:hint="eastAsia" w:ascii="仿宋_GB2312" w:hAnsi="仿宋_GB2312" w:eastAsia="仿宋_GB2312" w:cs="仿宋_GB2312"/>
          <w:color w:val="auto"/>
          <w:sz w:val="32"/>
          <w:szCs w:val="32"/>
          <w:lang w:eastAsia="zh-CN"/>
        </w:rPr>
        <w:t>赋能产业发展。</w:t>
      </w:r>
    </w:p>
    <w:p>
      <w:pPr>
        <w:spacing w:line="600" w:lineRule="exact"/>
        <w:ind w:firstLine="640" w:firstLineChars="200"/>
        <w:outlineLvl w:val="1"/>
        <w:rPr>
          <w:rFonts w:hint="eastAsia" w:ascii="楷体_GB2312" w:hAnsi="楷体_GB2312" w:eastAsia="楷体_GB2312" w:cs="楷体_GB2312"/>
          <w:color w:val="auto"/>
          <w:sz w:val="32"/>
          <w:szCs w:val="32"/>
        </w:rPr>
      </w:pPr>
      <w:bookmarkStart w:id="17" w:name="_Toc177654488"/>
      <w:r>
        <w:rPr>
          <w:rFonts w:hint="eastAsia" w:ascii="楷体_GB2312" w:hAnsi="楷体_GB2312" w:eastAsia="楷体_GB2312" w:cs="楷体_GB2312"/>
          <w:color w:val="auto"/>
          <w:sz w:val="32"/>
          <w:szCs w:val="32"/>
        </w:rPr>
        <w:t>（三）加快“视听+”融合创新，孵化视听新场景新业态</w:t>
      </w:r>
      <w:bookmarkEnd w:id="17"/>
    </w:p>
    <w:bookmarkEnd w:id="16"/>
    <w:p>
      <w:pPr>
        <w:spacing w:line="6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1.创新“视听+文旅”融合服务。</w:t>
      </w:r>
      <w:r>
        <w:rPr>
          <w:rFonts w:hint="eastAsia" w:ascii="仿宋_GB2312" w:hAnsi="仿宋_GB2312" w:eastAsia="仿宋_GB2312" w:cs="仿宋_GB2312"/>
          <w:color w:val="auto"/>
          <w:sz w:val="32"/>
          <w:szCs w:val="32"/>
        </w:rPr>
        <w:t>探索“</w:t>
      </w:r>
      <w:r>
        <w:rPr>
          <w:rFonts w:ascii="仿宋_GB2312" w:hAnsi="仿宋_GB2312" w:eastAsia="仿宋_GB2312" w:cs="仿宋_GB2312"/>
          <w:color w:val="auto"/>
          <w:sz w:val="32"/>
          <w:szCs w:val="32"/>
        </w:rPr>
        <w:t>动漫</w:t>
      </w:r>
      <w:r>
        <w:rPr>
          <w:rFonts w:hint="eastAsia" w:ascii="仿宋_GB2312" w:hAnsi="仿宋_GB2312" w:eastAsia="仿宋_GB2312" w:cs="仿宋_GB2312"/>
          <w:color w:val="auto"/>
          <w:sz w:val="32"/>
          <w:szCs w:val="32"/>
        </w:rPr>
        <w:t>+文旅</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影视</w:t>
      </w:r>
      <w:r>
        <w:rPr>
          <w:rFonts w:ascii="仿宋_GB2312" w:hAnsi="仿宋_GB2312" w:eastAsia="仿宋_GB2312" w:cs="仿宋_GB2312"/>
          <w:color w:val="auto"/>
          <w:sz w:val="32"/>
          <w:szCs w:val="32"/>
        </w:rPr>
        <w:t>+文旅”“</w:t>
      </w:r>
      <w:r>
        <w:rPr>
          <w:rFonts w:hint="eastAsia" w:ascii="仿宋_GB2312" w:hAnsi="仿宋_GB2312" w:eastAsia="仿宋_GB2312" w:cs="仿宋_GB2312"/>
          <w:color w:val="auto"/>
          <w:sz w:val="32"/>
          <w:szCs w:val="32"/>
        </w:rPr>
        <w:t>微短剧</w:t>
      </w:r>
      <w:r>
        <w:rPr>
          <w:rFonts w:ascii="仿宋_GB2312" w:hAnsi="仿宋_GB2312" w:eastAsia="仿宋_GB2312" w:cs="仿宋_GB2312"/>
          <w:color w:val="auto"/>
          <w:sz w:val="32"/>
          <w:szCs w:val="32"/>
        </w:rPr>
        <w:t>+文旅”“综艺+文旅”</w:t>
      </w:r>
      <w:r>
        <w:rPr>
          <w:rFonts w:hint="eastAsia" w:ascii="仿宋_GB2312" w:hAnsi="仿宋_GB2312" w:eastAsia="仿宋_GB2312" w:cs="仿宋_GB2312"/>
          <w:color w:val="auto"/>
          <w:sz w:val="32"/>
          <w:szCs w:val="32"/>
        </w:rPr>
        <w:t>等多样化、特色化、系列化的“视听+文旅”融合发展新模式、新场景与新业态。</w:t>
      </w:r>
    </w:p>
    <w:p>
      <w:pPr>
        <w:spacing w:line="6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w:t>
      </w:r>
      <w:r>
        <w:rPr>
          <w:rFonts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rPr>
        <w:t>拓展“视听+民生”服务。</w:t>
      </w:r>
      <w:r>
        <w:rPr>
          <w:rFonts w:hint="eastAsia" w:ascii="仿宋_GB2312" w:hAnsi="仿宋_GB2312" w:eastAsia="仿宋_GB2312" w:cs="仿宋_GB2312"/>
          <w:color w:val="auto"/>
          <w:sz w:val="32"/>
          <w:szCs w:val="32"/>
        </w:rPr>
        <w:t>发挥大屏优势，创新拓展“视听+”教育、医疗、康养等高品质智慧广电民生服务。</w:t>
      </w:r>
    </w:p>
    <w:p>
      <w:pPr>
        <w:spacing w:line="6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w:t>
      </w:r>
      <w:r>
        <w:rPr>
          <w:rFonts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rPr>
        <w:t>培育“短视频/直播+数字消费”新业态。</w:t>
      </w:r>
      <w:r>
        <w:rPr>
          <w:rFonts w:hint="eastAsia" w:ascii="仿宋_GB2312" w:hAnsi="仿宋_GB2312" w:eastAsia="仿宋_GB2312" w:cs="仿宋_GB2312"/>
          <w:color w:val="auto"/>
          <w:sz w:val="32"/>
          <w:szCs w:val="32"/>
        </w:rPr>
        <w:t>培育打造云南广电MCN平台，孵化一批直播服务机构、网红经济公司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融合直播基地建设，构建“短视频+直播”产业集群。搭建“农户+服务商+消费者”桥梁，助推云南乡村振兴。创新发展“短视频+文化资讯”“短视频+产品营销”“短视频+社交”等多元应用场景，助力全省文化繁荣和数字经济发展。</w:t>
      </w:r>
    </w:p>
    <w:p>
      <w:pPr>
        <w:spacing w:line="600" w:lineRule="exact"/>
        <w:ind w:firstLine="640" w:firstLineChars="200"/>
        <w:outlineLvl w:val="1"/>
        <w:rPr>
          <w:rFonts w:hint="eastAsia" w:ascii="楷体_GB2312" w:hAnsi="楷体_GB2312" w:eastAsia="楷体_GB2312" w:cs="楷体_GB2312"/>
          <w:color w:val="auto"/>
          <w:sz w:val="32"/>
          <w:szCs w:val="32"/>
        </w:rPr>
      </w:pPr>
      <w:bookmarkStart w:id="18" w:name="_Toc160107693"/>
      <w:bookmarkStart w:id="19" w:name="_Toc177654489"/>
      <w:r>
        <w:rPr>
          <w:rFonts w:hint="eastAsia" w:ascii="楷体_GB2312" w:hAnsi="楷体_GB2312" w:eastAsia="楷体_GB2312" w:cs="楷体_GB2312"/>
          <w:color w:val="auto"/>
          <w:sz w:val="32"/>
          <w:szCs w:val="32"/>
        </w:rPr>
        <w:t>（四）</w:t>
      </w:r>
      <w:bookmarkEnd w:id="18"/>
      <w:r>
        <w:rPr>
          <w:rFonts w:hint="eastAsia" w:ascii="楷体_GB2312" w:hAnsi="楷体_GB2312" w:eastAsia="楷体_GB2312" w:cs="楷体_GB2312"/>
          <w:color w:val="auto"/>
          <w:sz w:val="32"/>
          <w:szCs w:val="32"/>
        </w:rPr>
        <w:t>发挥产业集聚效应，培育打造优质产业集群</w:t>
      </w:r>
      <w:bookmarkEnd w:id="19"/>
    </w:p>
    <w:p>
      <w:pPr>
        <w:spacing w:line="6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1.支持视听产业园区建设。</w:t>
      </w:r>
      <w:r>
        <w:rPr>
          <w:rFonts w:hint="eastAsia" w:ascii="仿宋_GB2312" w:hAnsi="仿宋_GB2312" w:eastAsia="仿宋_GB2312" w:cs="仿宋_GB2312"/>
          <w:color w:val="auto"/>
          <w:sz w:val="32"/>
          <w:szCs w:val="32"/>
        </w:rPr>
        <w:t>打造一批内容资源丰富、技术优势突出、产业集聚效应明显、融合发展引导有力的视听产业园区，形成</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lang w:val="en-US" w:eastAsia="zh-CN"/>
        </w:rPr>
        <w:t>核多点、一园多片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产业园区布局。</w:t>
      </w:r>
    </w:p>
    <w:p>
      <w:pPr>
        <w:spacing w:line="6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2.培育壮大龙头企业。</w:t>
      </w:r>
      <w:r>
        <w:rPr>
          <w:rFonts w:hint="eastAsia" w:ascii="仿宋_GB2312" w:hAnsi="仿宋_GB2312" w:eastAsia="仿宋_GB2312" w:cs="仿宋_GB2312"/>
          <w:color w:val="auto"/>
          <w:sz w:val="32"/>
          <w:szCs w:val="32"/>
        </w:rPr>
        <w:t>以</w:t>
      </w:r>
      <w:r>
        <w:rPr>
          <w:rFonts w:hint="eastAsia" w:ascii="仿宋_GB2312" w:hAnsi="仿宋_GB2312" w:eastAsia="仿宋_GB2312" w:cs="仿宋_GB2312"/>
          <w:color w:val="auto"/>
          <w:sz w:val="32"/>
          <w:szCs w:val="32"/>
          <w:lang w:eastAsia="zh-CN"/>
        </w:rPr>
        <w:t>省内优势视听企业</w:t>
      </w:r>
      <w:r>
        <w:rPr>
          <w:rFonts w:hint="eastAsia" w:ascii="仿宋_GB2312" w:hAnsi="仿宋_GB2312" w:eastAsia="仿宋_GB2312" w:cs="仿宋_GB2312"/>
          <w:color w:val="auto"/>
          <w:sz w:val="32"/>
          <w:szCs w:val="32"/>
        </w:rPr>
        <w:t>为龙头，集聚全省优质生产要素，打造主业突出、实力雄厚、对行业具有强劲带动作用的规模化重点企业。鼓励国内外头部视听企业在云南设立内容制作生产基地、视听技术研发中心和视听内容运营中心，带动云南视听产业发展。</w:t>
      </w:r>
    </w:p>
    <w:p>
      <w:pPr>
        <w:spacing w:line="600" w:lineRule="exact"/>
        <w:ind w:firstLine="642" w:firstLineChars="200"/>
        <w:rPr>
          <w:rFonts w:hint="eastAsia" w:ascii="楷体_GB2312" w:hAnsi="楷体_GB2312" w:eastAsia="楷体_GB2312" w:cs="楷体_GB2312"/>
          <w:color w:val="auto"/>
          <w:sz w:val="32"/>
          <w:szCs w:val="32"/>
          <w:lang w:bidi="ar"/>
        </w:rPr>
      </w:pPr>
      <w:r>
        <w:rPr>
          <w:rFonts w:hint="eastAsia" w:ascii="仿宋_GB2312" w:hAnsi="仿宋_GB2312" w:eastAsia="仿宋_GB2312" w:cs="仿宋_GB2312"/>
          <w:b/>
          <w:bCs/>
          <w:color w:val="auto"/>
          <w:sz w:val="32"/>
          <w:szCs w:val="32"/>
        </w:rPr>
        <w:t>3.扶持中小微视听企业快速发展。</w:t>
      </w:r>
      <w:r>
        <w:rPr>
          <w:rFonts w:hint="eastAsia" w:ascii="仿宋_GB2312" w:hAnsi="仿宋_GB2312" w:eastAsia="仿宋_GB2312" w:cs="仿宋_GB2312"/>
          <w:color w:val="auto"/>
          <w:sz w:val="32"/>
          <w:szCs w:val="32"/>
        </w:rPr>
        <w:t>聚焦动画制作、虚拟拍摄制作、语言译制、超高清视频、沉浸式视频、可穿戴设备、智能终端制造等领域，建立中小微企业扶持名录，重点扶持打造一批广电专精特新“小巨人”企业和高新技术企业，推动云南视听领域中小企业高质量发展。</w:t>
      </w:r>
    </w:p>
    <w:p>
      <w:pPr>
        <w:spacing w:line="600" w:lineRule="exact"/>
        <w:ind w:firstLine="642" w:firstLineChars="200"/>
        <w:rPr>
          <w:rFonts w:hint="eastAsia" w:ascii="仿宋_GB2312" w:hAnsi="仿宋_GB2312" w:eastAsia="仿宋_GB2312" w:cs="仿宋_GB2312"/>
          <w:b/>
          <w:bCs/>
          <w:color w:val="auto"/>
          <w:sz w:val="32"/>
          <w:szCs w:val="32"/>
        </w:rPr>
      </w:pPr>
      <w:r>
        <w:rPr>
          <w:rFonts w:ascii="仿宋_GB2312" w:hAnsi="仿宋_GB2312" w:eastAsia="仿宋_GB2312" w:cs="仿宋_GB2312"/>
          <w:b/>
          <w:bCs/>
          <w:color w:val="auto"/>
          <w:sz w:val="32"/>
          <w:szCs w:val="32"/>
        </w:rPr>
        <w:t>4</w:t>
      </w:r>
      <w:r>
        <w:rPr>
          <w:rFonts w:hint="eastAsia" w:ascii="仿宋_GB2312" w:hAnsi="仿宋_GB2312" w:eastAsia="仿宋_GB2312" w:cs="仿宋_GB2312"/>
          <w:b/>
          <w:bCs/>
          <w:color w:val="auto"/>
          <w:sz w:val="32"/>
          <w:szCs w:val="32"/>
        </w:rPr>
        <w:t>.设立云南影视产业发展基金。</w:t>
      </w:r>
      <w:r>
        <w:rPr>
          <w:rFonts w:hint="eastAsia" w:ascii="仿宋_GB2312" w:hAnsi="仿宋_GB2312" w:eastAsia="仿宋_GB2312" w:cs="仿宋_GB2312"/>
          <w:color w:val="auto"/>
          <w:sz w:val="32"/>
          <w:szCs w:val="32"/>
        </w:rPr>
        <w:t>设立涵盖基础设施建设子基金、影视内容制作孵化子基金和数字内容建设子基金的云南影视产业发展母基金，支持影视产业补链强链，做强云南精品内容，助力提升云南视听产业竞争力、影响力和引领力。</w:t>
      </w:r>
    </w:p>
    <w:p>
      <w:pPr>
        <w:spacing w:line="600" w:lineRule="exact"/>
        <w:ind w:firstLine="640" w:firstLineChars="200"/>
        <w:outlineLvl w:val="1"/>
        <w:rPr>
          <w:rFonts w:hint="eastAsia" w:ascii="仿宋_GB2312" w:hAnsi="仿宋_GB2312" w:eastAsia="楷体_GB2312" w:cs="仿宋_GB2312"/>
          <w:color w:val="auto"/>
          <w:sz w:val="32"/>
          <w:szCs w:val="32"/>
        </w:rPr>
      </w:pPr>
      <w:bookmarkStart w:id="20" w:name="_Toc177654490"/>
      <w:r>
        <w:rPr>
          <w:rFonts w:hint="eastAsia" w:ascii="楷体_GB2312" w:hAnsi="楷体_GB2312" w:eastAsia="楷体_GB2312" w:cs="楷体_GB2312"/>
          <w:color w:val="auto"/>
          <w:sz w:val="32"/>
          <w:szCs w:val="32"/>
        </w:rPr>
        <w:t>（五）提升国际传播</w:t>
      </w:r>
      <w:r>
        <w:rPr>
          <w:rFonts w:hint="eastAsia" w:ascii="楷体_GB2312" w:hAnsi="楷体_GB2312" w:eastAsia="楷体_GB2312" w:cs="楷体_GB2312"/>
          <w:color w:val="auto"/>
          <w:sz w:val="32"/>
          <w:szCs w:val="32"/>
          <w:lang w:val="en-US" w:eastAsia="zh-CN"/>
        </w:rPr>
        <w:t>效能</w:t>
      </w:r>
      <w:r>
        <w:rPr>
          <w:rFonts w:hint="eastAsia" w:ascii="楷体_GB2312" w:hAnsi="楷体_GB2312" w:eastAsia="楷体_GB2312" w:cs="楷体_GB2312"/>
          <w:color w:val="auto"/>
          <w:sz w:val="32"/>
          <w:szCs w:val="32"/>
        </w:rPr>
        <w:t>，打造区域传播辐射中心</w:t>
      </w:r>
    </w:p>
    <w:p>
      <w:pPr>
        <w:spacing w:line="6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1.开创国际视听内容</w:t>
      </w:r>
      <w:r>
        <w:rPr>
          <w:rFonts w:hint="eastAsia" w:ascii="仿宋_GB2312" w:hAnsi="仿宋_GB2312" w:eastAsia="仿宋_GB2312" w:cs="仿宋_GB2312"/>
          <w:b/>
          <w:bCs/>
          <w:color w:val="auto"/>
          <w:sz w:val="32"/>
          <w:szCs w:val="32"/>
          <w:lang w:val="en-US" w:eastAsia="zh-CN"/>
        </w:rPr>
        <w:t>交流</w:t>
      </w:r>
      <w:r>
        <w:rPr>
          <w:rFonts w:hint="eastAsia" w:ascii="仿宋_GB2312" w:hAnsi="仿宋_GB2312" w:eastAsia="仿宋_GB2312" w:cs="仿宋_GB2312"/>
          <w:b/>
          <w:bCs/>
          <w:color w:val="auto"/>
          <w:sz w:val="32"/>
          <w:szCs w:val="32"/>
        </w:rPr>
        <w:t>合作新局面。</w:t>
      </w:r>
      <w:r>
        <w:rPr>
          <w:rFonts w:hint="eastAsia" w:ascii="仿宋_GB2312" w:hAnsi="仿宋_GB2312" w:eastAsia="仿宋_GB2312" w:cs="仿宋_GB2312"/>
          <w:color w:val="auto"/>
          <w:sz w:val="32"/>
          <w:szCs w:val="32"/>
        </w:rPr>
        <w:t>完善与澜湄合作机制成员国视听行业交流合作长效机制，推动在拍摄制作、互译互播、技术创新、人才培养等领域的交流与合作，构建更有效力的国际传播体系。积极推动与南亚东南亚国家传统媒体及新媒体平台合作，深化文化交流交融。推动</w:t>
      </w:r>
      <w:r>
        <w:rPr>
          <w:rFonts w:hint="eastAsia" w:ascii="仿宋_GB2312" w:hAnsi="仿宋_GB2312" w:eastAsia="仿宋_GB2312" w:cs="仿宋_GB2312"/>
          <w:color w:val="auto"/>
          <w:sz w:val="32"/>
          <w:szCs w:val="32"/>
          <w:lang w:eastAsia="zh-CN"/>
        </w:rPr>
        <w:t>国外</w:t>
      </w:r>
      <w:r>
        <w:rPr>
          <w:rFonts w:hint="eastAsia" w:ascii="仿宋_GB2312" w:hAnsi="仿宋_GB2312" w:eastAsia="仿宋_GB2312" w:cs="仿宋_GB2312"/>
          <w:color w:val="auto"/>
          <w:sz w:val="32"/>
          <w:szCs w:val="32"/>
        </w:rPr>
        <w:t>视听产业基地</w:t>
      </w:r>
      <w:r>
        <w:rPr>
          <w:rFonts w:hint="eastAsia" w:ascii="仿宋_GB2312" w:hAnsi="仿宋_GB2312" w:eastAsia="仿宋_GB2312" w:cs="仿宋_GB2312"/>
          <w:color w:val="auto"/>
          <w:sz w:val="32"/>
          <w:szCs w:val="32"/>
          <w:lang w:eastAsia="zh-CN"/>
        </w:rPr>
        <w:t>建设，开展人才交流，</w:t>
      </w:r>
      <w:r>
        <w:rPr>
          <w:rFonts w:hint="eastAsia" w:ascii="仿宋_GB2312" w:hAnsi="仿宋_GB2312" w:eastAsia="仿宋_GB2312" w:cs="仿宋_GB2312"/>
          <w:color w:val="auto"/>
          <w:sz w:val="32"/>
          <w:szCs w:val="32"/>
        </w:rPr>
        <w:t>促进国际产业合作。</w:t>
      </w:r>
    </w:p>
    <w:p>
      <w:pPr>
        <w:spacing w:line="60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2.构建国际传播全媒体矩阵。</w:t>
      </w:r>
      <w:r>
        <w:rPr>
          <w:rFonts w:hint="eastAsia" w:ascii="仿宋_GB2312" w:hAnsi="仿宋_GB2312" w:eastAsia="仿宋_GB2312" w:cs="仿宋_GB2312"/>
          <w:color w:val="auto"/>
          <w:sz w:val="32"/>
          <w:szCs w:val="32"/>
        </w:rPr>
        <w:t>支持</w:t>
      </w:r>
      <w:r>
        <w:rPr>
          <w:rFonts w:hint="eastAsia" w:ascii="仿宋_GB2312" w:hAnsi="仿宋_GB2312" w:eastAsia="仿宋_GB2312" w:cs="仿宋_GB2312"/>
          <w:color w:val="auto"/>
          <w:sz w:val="32"/>
          <w:szCs w:val="32"/>
          <w:lang w:val="en-US" w:eastAsia="zh-CN"/>
        </w:rPr>
        <w:t>成立</w:t>
      </w:r>
      <w:r>
        <w:rPr>
          <w:rFonts w:hint="eastAsia" w:ascii="仿宋_GB2312" w:hAnsi="仿宋_GB2312" w:eastAsia="仿宋_GB2312" w:cs="仿宋_GB2312"/>
          <w:color w:val="auto"/>
          <w:sz w:val="32"/>
          <w:szCs w:val="32"/>
        </w:rPr>
        <w:t>国际传播中心，积极拓展国际传播业务。积极融入南亚东南亚数字合作专项工作。支持</w:t>
      </w:r>
      <w:r>
        <w:rPr>
          <w:rFonts w:hint="eastAsia" w:ascii="仿宋_GB2312" w:hAnsi="仿宋_GB2312" w:eastAsia="仿宋_GB2312" w:cs="仿宋_GB2312"/>
          <w:color w:val="auto"/>
          <w:sz w:val="32"/>
          <w:szCs w:val="32"/>
          <w:lang w:eastAsia="zh-CN"/>
        </w:rPr>
        <w:t>各地各部门</w:t>
      </w:r>
      <w:r>
        <w:rPr>
          <w:rFonts w:hint="eastAsia" w:ascii="仿宋_GB2312" w:hAnsi="仿宋_GB2312" w:eastAsia="仿宋_GB2312" w:cs="仿宋_GB2312"/>
          <w:color w:val="auto"/>
          <w:sz w:val="32"/>
          <w:szCs w:val="32"/>
        </w:rPr>
        <w:t>开展国际传播工作，推动</w:t>
      </w:r>
      <w:r>
        <w:rPr>
          <w:rFonts w:hint="eastAsia" w:ascii="仿宋_GB2312" w:hAnsi="仿宋_GB2312" w:eastAsia="仿宋_GB2312" w:cs="仿宋_GB2312"/>
          <w:color w:val="auto"/>
          <w:sz w:val="32"/>
          <w:szCs w:val="32"/>
          <w:lang w:val="en-US" w:eastAsia="zh-CN"/>
        </w:rPr>
        <w:t>广电</w:t>
      </w:r>
      <w:r>
        <w:rPr>
          <w:rFonts w:hint="eastAsia" w:ascii="仿宋_GB2312" w:hAnsi="仿宋_GB2312" w:eastAsia="仿宋_GB2312" w:cs="仿宋_GB2312"/>
          <w:color w:val="auto"/>
          <w:sz w:val="32"/>
          <w:szCs w:val="32"/>
        </w:rPr>
        <w:t>视听内容海外传播覆盖。统筹“借船出海”和“造船出海”两种方式，支持相关主体构建“网络+海外账号矩阵+落地活动”社交传播矩阵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进一步</w:t>
      </w:r>
      <w:r>
        <w:rPr>
          <w:rFonts w:hint="eastAsia" w:ascii="仿宋_GB2312" w:hAnsi="仿宋_GB2312" w:eastAsia="仿宋_GB2312" w:cs="仿宋_GB2312"/>
          <w:color w:val="auto"/>
          <w:sz w:val="32"/>
          <w:szCs w:val="32"/>
          <w:lang w:val="en-US" w:eastAsia="zh-CN"/>
        </w:rPr>
        <w:t>推进广电</w:t>
      </w:r>
      <w:r>
        <w:rPr>
          <w:rFonts w:hint="eastAsia" w:ascii="仿宋_GB2312" w:hAnsi="仿宋_GB2312" w:eastAsia="仿宋_GB2312" w:cs="仿宋_GB2312"/>
          <w:color w:val="auto"/>
          <w:sz w:val="32"/>
          <w:szCs w:val="32"/>
        </w:rPr>
        <w:t>视听技术和内容</w:t>
      </w:r>
      <w:r>
        <w:rPr>
          <w:rFonts w:hint="eastAsia" w:ascii="仿宋_GB2312" w:hAnsi="仿宋_GB2312" w:eastAsia="仿宋_GB2312" w:cs="仿宋_GB2312"/>
          <w:color w:val="auto"/>
          <w:sz w:val="32"/>
          <w:szCs w:val="32"/>
          <w:lang w:val="en-US" w:eastAsia="zh-CN"/>
        </w:rPr>
        <w:t>走出去</w:t>
      </w:r>
      <w:r>
        <w:rPr>
          <w:rFonts w:hint="eastAsia" w:ascii="仿宋_GB2312" w:hAnsi="仿宋_GB2312" w:eastAsia="仿宋_GB2312" w:cs="仿宋_GB2312"/>
          <w:color w:val="auto"/>
          <w:sz w:val="32"/>
          <w:szCs w:val="32"/>
        </w:rPr>
        <w:t>。</w:t>
      </w:r>
    </w:p>
    <w:p>
      <w:pPr>
        <w:spacing w:line="600" w:lineRule="exact"/>
        <w:ind w:firstLine="642" w:firstLineChars="200"/>
        <w:rPr>
          <w:rFonts w:hint="eastAsia" w:ascii="楷体_GB2312" w:hAnsi="楷体_GB2312" w:eastAsia="楷体_GB2312" w:cs="楷体_GB2312"/>
          <w:color w:val="auto"/>
          <w:sz w:val="32"/>
          <w:szCs w:val="32"/>
          <w:lang w:bidi="ar"/>
        </w:rPr>
      </w:pPr>
      <w:r>
        <w:rPr>
          <w:rFonts w:hint="eastAsia" w:ascii="仿宋_GB2312" w:hAnsi="仿宋_GB2312" w:eastAsia="仿宋_GB2312" w:cs="仿宋_GB2312"/>
          <w:b/>
          <w:bCs/>
          <w:color w:val="auto"/>
          <w:sz w:val="32"/>
          <w:szCs w:val="32"/>
        </w:rPr>
        <w:t>3.举办国际</w:t>
      </w:r>
      <w:r>
        <w:rPr>
          <w:rFonts w:hint="eastAsia" w:ascii="仿宋_GB2312" w:hAnsi="仿宋_GB2312" w:eastAsia="仿宋_GB2312" w:cs="仿宋_GB2312"/>
          <w:b/>
          <w:bCs/>
          <w:color w:val="auto"/>
          <w:sz w:val="32"/>
          <w:szCs w:val="32"/>
          <w:lang w:val="en-US" w:eastAsia="zh-CN"/>
        </w:rPr>
        <w:t>传播</w:t>
      </w:r>
      <w:r>
        <w:rPr>
          <w:rFonts w:hint="eastAsia" w:ascii="仿宋_GB2312" w:hAnsi="仿宋_GB2312" w:eastAsia="仿宋_GB2312" w:cs="仿宋_GB2312"/>
          <w:b/>
          <w:bCs/>
          <w:color w:val="auto"/>
          <w:sz w:val="32"/>
          <w:szCs w:val="32"/>
        </w:rPr>
        <w:t>活动。</w:t>
      </w:r>
      <w:r>
        <w:rPr>
          <w:rFonts w:hint="eastAsia" w:ascii="仿宋_GB2312" w:hAnsi="仿宋_GB2312" w:eastAsia="仿宋_GB2312" w:cs="仿宋_GB2312"/>
          <w:color w:val="auto"/>
          <w:sz w:val="32"/>
          <w:szCs w:val="32"/>
        </w:rPr>
        <w:t>办好澜湄视听周、澜湄国际电影周系列活动，加深全球观众对中国文化和社会的了解。打造内容创新合作和交流学习平台，吸引更多国家的优秀创作团队参加。鼓励与南亚东南亚国家视听机构合办视听活动，助力国内视听科技产品与节目内容走出去，提高活动品牌影响力，持续提升云南</w:t>
      </w:r>
      <w:r>
        <w:rPr>
          <w:rFonts w:hint="eastAsia" w:ascii="仿宋_GB2312" w:hAnsi="仿宋_GB2312" w:eastAsia="仿宋_GB2312" w:cs="仿宋_GB2312"/>
          <w:color w:val="auto"/>
          <w:sz w:val="32"/>
          <w:szCs w:val="32"/>
          <w:lang w:val="en-US" w:eastAsia="zh-CN"/>
        </w:rPr>
        <w:t>广电</w:t>
      </w:r>
      <w:r>
        <w:rPr>
          <w:rFonts w:hint="eastAsia" w:ascii="仿宋_GB2312" w:hAnsi="仿宋_GB2312" w:eastAsia="仿宋_GB2312" w:cs="仿宋_GB2312"/>
          <w:color w:val="auto"/>
          <w:sz w:val="32"/>
          <w:szCs w:val="32"/>
        </w:rPr>
        <w:t>视听国际传播效能。</w:t>
      </w:r>
    </w:p>
    <w:bookmarkEnd w:id="20"/>
    <w:p>
      <w:pPr>
        <w:spacing w:line="600" w:lineRule="exact"/>
        <w:ind w:firstLine="640" w:firstLineChars="200"/>
        <w:outlineLvl w:val="0"/>
        <w:rPr>
          <w:rFonts w:hint="eastAsia" w:ascii="黑体" w:hAnsi="黑体" w:eastAsia="黑体" w:cs="黑体"/>
          <w:color w:val="auto"/>
          <w:sz w:val="32"/>
          <w:szCs w:val="32"/>
        </w:rPr>
      </w:pPr>
      <w:bookmarkStart w:id="21" w:name="_Toc177654491"/>
      <w:r>
        <w:rPr>
          <w:rFonts w:hint="eastAsia" w:ascii="黑体" w:hAnsi="黑体" w:eastAsia="黑体" w:cs="黑体"/>
          <w:color w:val="auto"/>
          <w:sz w:val="32"/>
          <w:szCs w:val="32"/>
        </w:rPr>
        <w:t>四、保障措施</w:t>
      </w:r>
      <w:bookmarkEnd w:id="21"/>
    </w:p>
    <w:p>
      <w:pPr>
        <w:spacing w:line="600" w:lineRule="exact"/>
        <w:ind w:firstLine="640" w:firstLineChars="200"/>
        <w:outlineLvl w:val="1"/>
        <w:rPr>
          <w:rFonts w:hint="eastAsia" w:ascii="楷体_GB2312" w:hAnsi="楷体_GB2312" w:eastAsia="楷体_GB2312" w:cs="楷体_GB2312"/>
          <w:color w:val="auto"/>
          <w:sz w:val="32"/>
          <w:szCs w:val="32"/>
        </w:rPr>
      </w:pPr>
      <w:bookmarkStart w:id="22" w:name="_Toc177654492"/>
      <w:r>
        <w:rPr>
          <w:rFonts w:hint="eastAsia" w:ascii="楷体_GB2312" w:hAnsi="楷体_GB2312" w:eastAsia="楷体_GB2312" w:cs="楷体_GB2312"/>
          <w:color w:val="auto"/>
          <w:sz w:val="32"/>
          <w:szCs w:val="32"/>
        </w:rPr>
        <w:t>（一）加强组织保障</w:t>
      </w:r>
      <w:bookmarkEnd w:id="22"/>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成立云南省视听产业发展工作</w:t>
      </w:r>
      <w:r>
        <w:rPr>
          <w:rFonts w:hint="eastAsia" w:ascii="仿宋_GB2312" w:hAnsi="仿宋_GB2312" w:eastAsia="仿宋_GB2312" w:cs="仿宋_GB2312"/>
          <w:color w:val="auto"/>
          <w:sz w:val="32"/>
          <w:szCs w:val="32"/>
          <w:lang w:eastAsia="zh-CN"/>
        </w:rPr>
        <w:t>专班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建立工作机制，</w:t>
      </w:r>
      <w:r>
        <w:rPr>
          <w:rFonts w:hint="eastAsia" w:ascii="仿宋_GB2312" w:hAnsi="仿宋_GB2312" w:eastAsia="仿宋_GB2312" w:cs="仿宋_GB2312"/>
          <w:color w:val="auto"/>
          <w:sz w:val="32"/>
          <w:szCs w:val="32"/>
        </w:rPr>
        <w:t>推动各项工作落地</w:t>
      </w:r>
      <w:r>
        <w:rPr>
          <w:rFonts w:hint="eastAsia" w:ascii="仿宋_GB2312" w:hAnsi="仿宋_GB2312" w:eastAsia="仿宋_GB2312" w:cs="仿宋_GB2312"/>
          <w:color w:val="auto"/>
          <w:sz w:val="32"/>
          <w:szCs w:val="32"/>
          <w:lang w:eastAsia="zh-CN"/>
        </w:rPr>
        <w:t>落实</w:t>
      </w:r>
      <w:r>
        <w:rPr>
          <w:rFonts w:hint="eastAsia" w:ascii="仿宋_GB2312" w:hAnsi="仿宋_GB2312" w:eastAsia="仿宋_GB2312" w:cs="仿宋_GB2312"/>
          <w:color w:val="auto"/>
          <w:sz w:val="32"/>
          <w:szCs w:val="32"/>
        </w:rPr>
        <w:t>。</w:t>
      </w:r>
    </w:p>
    <w:p>
      <w:pPr>
        <w:spacing w:line="600" w:lineRule="exact"/>
        <w:ind w:firstLine="640" w:firstLineChars="200"/>
        <w:outlineLvl w:val="1"/>
        <w:rPr>
          <w:rFonts w:hint="eastAsia" w:ascii="楷体_GB2312" w:hAnsi="楷体_GB2312" w:eastAsia="楷体_GB2312" w:cs="楷体_GB2312"/>
          <w:color w:val="auto"/>
          <w:sz w:val="32"/>
          <w:szCs w:val="32"/>
        </w:rPr>
      </w:pPr>
      <w:bookmarkStart w:id="23" w:name="_Toc177654493"/>
      <w:r>
        <w:rPr>
          <w:rFonts w:hint="eastAsia" w:ascii="楷体_GB2312" w:hAnsi="楷体_GB2312" w:eastAsia="楷体_GB2312" w:cs="楷体_GB2312"/>
          <w:color w:val="auto"/>
          <w:sz w:val="32"/>
          <w:szCs w:val="32"/>
        </w:rPr>
        <w:t>（二）强化政策保障</w:t>
      </w:r>
      <w:bookmarkEnd w:id="23"/>
    </w:p>
    <w:p>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统筹整合资源支持重点项目落地，</w:t>
      </w:r>
      <w:r>
        <w:rPr>
          <w:rFonts w:hint="eastAsia" w:ascii="仿宋_GB2312" w:hAnsi="仿宋_GB2312" w:eastAsia="仿宋_GB2312" w:cs="仿宋_GB2312"/>
          <w:color w:val="auto"/>
          <w:sz w:val="32"/>
          <w:szCs w:val="32"/>
          <w:lang w:eastAsia="zh-CN"/>
        </w:rPr>
        <w:t>协调出</w:t>
      </w:r>
      <w:r>
        <w:rPr>
          <w:rFonts w:hint="eastAsia" w:ascii="仿宋_GB2312" w:hAnsi="仿宋_GB2312" w:eastAsia="仿宋_GB2312" w:cs="仿宋_GB2312"/>
          <w:color w:val="auto"/>
          <w:sz w:val="32"/>
          <w:szCs w:val="32"/>
        </w:rPr>
        <w:t>台完善扶持性政策，健全完善扶持机制，为云南视听产业</w:t>
      </w:r>
      <w:r>
        <w:rPr>
          <w:rFonts w:hint="eastAsia" w:ascii="仿宋_GB2312" w:hAnsi="仿宋_GB2312" w:eastAsia="仿宋_GB2312" w:cs="仿宋_GB2312"/>
          <w:color w:val="auto"/>
          <w:sz w:val="32"/>
          <w:szCs w:val="32"/>
          <w:lang w:eastAsia="zh-CN"/>
        </w:rPr>
        <w:t>发展</w:t>
      </w:r>
      <w:r>
        <w:rPr>
          <w:rFonts w:hint="eastAsia" w:ascii="仿宋_GB2312" w:hAnsi="仿宋_GB2312" w:eastAsia="仿宋_GB2312" w:cs="仿宋_GB2312"/>
          <w:color w:val="auto"/>
          <w:sz w:val="32"/>
          <w:szCs w:val="32"/>
        </w:rPr>
        <w:t>提供保障。</w:t>
      </w:r>
      <w:bookmarkStart w:id="24" w:name="_Toc177654494"/>
    </w:p>
    <w:p>
      <w:pPr>
        <w:spacing w:line="600" w:lineRule="exact"/>
        <w:ind w:firstLine="640" w:firstLineChars="200"/>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（三）加大资金扶持</w:t>
      </w:r>
      <w:bookmarkEnd w:id="24"/>
    </w:p>
    <w:p>
      <w:pPr>
        <w:spacing w:line="600" w:lineRule="exact"/>
        <w:ind w:firstLine="640" w:firstLineChars="200"/>
        <w:rPr>
          <w:rFonts w:hint="eastAsia" w:ascii="仿宋_GB2312" w:hAnsi="仿宋_GB2312" w:eastAsia="仿宋_GB2312" w:cs="仿宋_GB2312"/>
          <w:color w:val="auto"/>
          <w:sz w:val="32"/>
          <w:szCs w:val="32"/>
          <w:lang w:bidi="ar"/>
        </w:rPr>
      </w:pPr>
      <w:r>
        <w:rPr>
          <w:rFonts w:hint="eastAsia" w:ascii="仿宋_GB2312" w:hAnsi="仿宋_GB2312" w:eastAsia="仿宋_GB2312" w:cs="仿宋_GB2312"/>
          <w:color w:val="auto"/>
          <w:sz w:val="32"/>
          <w:szCs w:val="32"/>
          <w:lang w:bidi="ar"/>
        </w:rPr>
        <w:t>建立大视听产业重点项目库，</w:t>
      </w:r>
      <w:r>
        <w:rPr>
          <w:rFonts w:hint="eastAsia" w:ascii="仿宋_GB2312" w:hAnsi="仿宋_GB2312" w:eastAsia="仿宋_GB2312" w:cs="仿宋_GB2312"/>
          <w:color w:val="auto"/>
          <w:sz w:val="32"/>
          <w:szCs w:val="32"/>
          <w:lang w:eastAsia="zh-CN" w:bidi="ar"/>
        </w:rPr>
        <w:t>争取</w:t>
      </w:r>
      <w:r>
        <w:rPr>
          <w:rFonts w:hint="eastAsia" w:ascii="仿宋_GB2312" w:hAnsi="仿宋_GB2312" w:eastAsia="仿宋_GB2312" w:cs="仿宋_GB2312"/>
          <w:color w:val="auto"/>
          <w:sz w:val="32"/>
          <w:szCs w:val="32"/>
          <w:lang w:bidi="ar"/>
        </w:rPr>
        <w:t>设立产业发展专项扶持资金及视听内容创作引导扶持专项资金</w:t>
      </w:r>
      <w:r>
        <w:rPr>
          <w:rFonts w:hint="eastAsia" w:ascii="仿宋_GB2312" w:hAnsi="仿宋_GB2312" w:eastAsia="仿宋_GB2312" w:cs="仿宋_GB2312"/>
          <w:color w:val="auto"/>
          <w:sz w:val="32"/>
          <w:szCs w:val="32"/>
          <w:lang w:val="en-US" w:eastAsia="zh-CN" w:bidi="ar"/>
        </w:rPr>
        <w:t>，</w:t>
      </w:r>
      <w:r>
        <w:rPr>
          <w:rFonts w:hint="eastAsia" w:ascii="仿宋_GB2312" w:hAnsi="仿宋_GB2312" w:eastAsia="仿宋_GB2312" w:cs="仿宋_GB2312"/>
          <w:color w:val="auto"/>
          <w:sz w:val="32"/>
          <w:szCs w:val="32"/>
          <w:lang w:bidi="ar"/>
        </w:rPr>
        <w:t>争取财政资金支持</w:t>
      </w:r>
      <w:r>
        <w:rPr>
          <w:rFonts w:hint="eastAsia" w:ascii="仿宋_GB2312" w:hAnsi="仿宋_GB2312" w:eastAsia="仿宋_GB2312" w:cs="仿宋_GB2312"/>
          <w:color w:val="auto"/>
          <w:sz w:val="32"/>
          <w:szCs w:val="32"/>
          <w:lang w:eastAsia="zh-CN" w:bidi="ar"/>
        </w:rPr>
        <w:t>，开展全链条扶持。</w:t>
      </w:r>
    </w:p>
    <w:p>
      <w:pPr>
        <w:ind w:firstLine="640" w:firstLineChars="200"/>
        <w:rPr>
          <w:rFonts w:hint="eastAsia" w:ascii="方正楷体_GBK" w:hAnsi="方正楷体_GBK" w:eastAsia="方正楷体_GBK" w:cs="方正楷体_GBK"/>
          <w:sz w:val="32"/>
          <w:szCs w:val="32"/>
          <w:lang w:eastAsia="zh-CN"/>
        </w:rPr>
      </w:pPr>
      <w:bookmarkStart w:id="25" w:name="_Toc177654496"/>
      <w:r>
        <w:rPr>
          <w:rFonts w:hint="eastAsia" w:ascii="方正楷体_GBK" w:hAnsi="方正楷体_GBK" w:eastAsia="方正楷体_GBK" w:cs="方正楷体_GBK"/>
          <w:sz w:val="32"/>
          <w:szCs w:val="32"/>
          <w:lang w:eastAsia="zh-CN"/>
        </w:rPr>
        <w:t>（四）引培高端人才</w:t>
      </w:r>
    </w:p>
    <w:p>
      <w:pPr>
        <w:ind w:firstLine="640" w:firstLineChars="200"/>
        <w:rPr>
          <w:rFonts w:hint="default" w:ascii="方正楷体_GBK" w:hAnsi="方正楷体_GBK" w:eastAsia="方正楷体_GBK" w:cs="方正楷体_GBK"/>
          <w:sz w:val="32"/>
          <w:szCs w:val="32"/>
          <w:lang w:val="en-US" w:eastAsia="zh-CN"/>
        </w:rPr>
      </w:pPr>
      <w:r>
        <w:rPr>
          <w:rFonts w:hint="eastAsia" w:ascii="方正仿宋_GBK" w:hAnsi="方正仿宋_GBK" w:eastAsia="方正仿宋_GBK" w:cs="方正仿宋_GBK"/>
          <w:sz w:val="32"/>
          <w:szCs w:val="32"/>
          <w:lang w:eastAsia="zh-CN"/>
        </w:rPr>
        <w:t>全面贯彻落实省人才培养引进政策，加强广播电视和网络视听高端人才引进和培育。引进培养一批具有发展潜力的人才队伍，建立高水平多层次人才梯队。加强校企合作，</w:t>
      </w:r>
      <w:bookmarkStart w:id="26" w:name="_GoBack"/>
      <w:bookmarkEnd w:id="26"/>
      <w:r>
        <w:rPr>
          <w:rFonts w:hint="eastAsia" w:ascii="方正仿宋_GBK" w:hAnsi="方正仿宋_GBK" w:eastAsia="方正仿宋_GBK" w:cs="方正仿宋_GBK"/>
          <w:sz w:val="32"/>
          <w:szCs w:val="32"/>
          <w:lang w:eastAsia="zh-CN"/>
        </w:rPr>
        <w:t>培养具备创新精神和实践能力的专业人才，为云南视听产业发展提供有力的人才保障和智力支持。</w:t>
      </w:r>
    </w:p>
    <w:p>
      <w:pPr>
        <w:spacing w:line="600" w:lineRule="exact"/>
        <w:ind w:firstLine="640" w:firstLineChars="200"/>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rPr>
        <w:t>（五）实施评估</w:t>
      </w:r>
      <w:bookmarkEnd w:id="25"/>
      <w:r>
        <w:rPr>
          <w:rFonts w:hint="eastAsia" w:ascii="楷体_GB2312" w:hAnsi="楷体_GB2312" w:eastAsia="楷体_GB2312" w:cs="楷体_GB2312"/>
          <w:color w:val="auto"/>
          <w:sz w:val="32"/>
          <w:szCs w:val="32"/>
          <w:lang w:eastAsia="zh-CN"/>
        </w:rPr>
        <w:t>评价</w:t>
      </w:r>
    </w:p>
    <w:p>
      <w:pPr>
        <w:spacing w:line="600" w:lineRule="exact"/>
        <w:ind w:firstLine="640" w:firstLineChars="200"/>
        <w:rPr>
          <w:color w:val="auto"/>
        </w:rPr>
      </w:pPr>
      <w:r>
        <w:rPr>
          <w:rFonts w:hint="eastAsia" w:ascii="仿宋_GB2312" w:hAnsi="仿宋_GB2312" w:eastAsia="仿宋_GB2312" w:cs="仿宋_GB2312"/>
          <w:color w:val="auto"/>
          <w:sz w:val="32"/>
          <w:szCs w:val="32"/>
          <w:lang w:eastAsia="zh-CN" w:bidi="ar"/>
        </w:rPr>
        <w:t>建立评估评价体系和</w:t>
      </w:r>
      <w:r>
        <w:rPr>
          <w:rFonts w:hint="eastAsia" w:ascii="仿宋_GB2312" w:hAnsi="仿宋_GB2312" w:eastAsia="仿宋_GB2312" w:cs="仿宋_GB2312"/>
          <w:color w:val="auto"/>
          <w:sz w:val="32"/>
          <w:szCs w:val="32"/>
          <w:lang w:bidi="ar"/>
        </w:rPr>
        <w:t>机制，通过</w:t>
      </w:r>
      <w:r>
        <w:rPr>
          <w:rFonts w:hint="eastAsia" w:ascii="仿宋_GB2312" w:hAnsi="仿宋_GB2312" w:eastAsia="仿宋_GB2312" w:cs="仿宋_GB2312"/>
          <w:color w:val="auto"/>
          <w:sz w:val="32"/>
          <w:szCs w:val="32"/>
          <w:lang w:eastAsia="zh-CN" w:bidi="ar"/>
        </w:rPr>
        <w:t>有效</w:t>
      </w:r>
      <w:r>
        <w:rPr>
          <w:rFonts w:hint="eastAsia" w:ascii="仿宋_GB2312" w:hAnsi="仿宋_GB2312" w:eastAsia="仿宋_GB2312" w:cs="仿宋_GB2312"/>
          <w:color w:val="auto"/>
          <w:sz w:val="32"/>
          <w:szCs w:val="32"/>
          <w:lang w:bidi="ar"/>
        </w:rPr>
        <w:t>方式，对规划的实施情况开展评估检查，提升规划实施成效。</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Nimbus Roman No9 L">
    <w:panose1 w:val="00000000000000000000"/>
    <w:charset w:val="00"/>
    <w:family w:val="auto"/>
    <w:pitch w:val="default"/>
    <w:sig w:usb0="00000000" w:usb1="00000000" w:usb2="00000000" w:usb3="00000000" w:csb0="00000000" w:csb1="00000000"/>
  </w:font>
  <w:font w:name="经典繁行书">
    <w:panose1 w:val="02010609010101010101"/>
    <w:charset w:val="86"/>
    <w:family w:val="auto"/>
    <w:pitch w:val="default"/>
    <w:sig w:usb0="A1007AEF" w:usb1="F9DF7CFB" w:usb2="0000001E" w:usb3="00000000" w:csb0="20040000" w:csb1="00000000"/>
  </w:font>
  <w:font w:name="方正楷体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68956"/>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18"/>
      </w:pPr>
      <w:r>
        <w:rPr>
          <w:rStyle w:val="27"/>
        </w:rPr>
        <w:footnoteRef/>
      </w:r>
      <w:r>
        <w:t xml:space="preserve"> </w:t>
      </w:r>
      <w:r>
        <w:rPr>
          <w:rFonts w:hint="eastAsia"/>
        </w:rPr>
        <w:t>核心产业收入指全省广播电视行业总收入。</w:t>
      </w:r>
    </w:p>
  </w:footnote>
  <w:footnote w:id="1">
    <w:p>
      <w:pPr>
        <w:pStyle w:val="18"/>
      </w:pPr>
      <w:r>
        <w:rPr>
          <w:rStyle w:val="27"/>
        </w:rPr>
        <w:footnoteRef/>
      </w:r>
      <w:r>
        <w:t xml:space="preserve"> </w:t>
      </w:r>
      <w:r>
        <w:rPr>
          <w:rFonts w:hint="eastAsia"/>
        </w:rPr>
        <w:t>以2023年云南省广播电视行业总收入68.79亿元进行测算，年均增长率按15%计算，到2026年，行业总收入达104.62亿。</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D0"/>
    <w:rsid w:val="00000AD5"/>
    <w:rsid w:val="00000BC5"/>
    <w:rsid w:val="000016EF"/>
    <w:rsid w:val="00003B7F"/>
    <w:rsid w:val="00004795"/>
    <w:rsid w:val="000071F4"/>
    <w:rsid w:val="000121EF"/>
    <w:rsid w:val="00013585"/>
    <w:rsid w:val="00014AEF"/>
    <w:rsid w:val="00016529"/>
    <w:rsid w:val="00020604"/>
    <w:rsid w:val="00021EEE"/>
    <w:rsid w:val="00022A37"/>
    <w:rsid w:val="00022A6B"/>
    <w:rsid w:val="00023A2D"/>
    <w:rsid w:val="00023A8C"/>
    <w:rsid w:val="00023D10"/>
    <w:rsid w:val="00024700"/>
    <w:rsid w:val="0002564E"/>
    <w:rsid w:val="00026192"/>
    <w:rsid w:val="00026C6D"/>
    <w:rsid w:val="00031035"/>
    <w:rsid w:val="00031D24"/>
    <w:rsid w:val="00033D1D"/>
    <w:rsid w:val="00034C2F"/>
    <w:rsid w:val="000438DF"/>
    <w:rsid w:val="00045534"/>
    <w:rsid w:val="000500B1"/>
    <w:rsid w:val="000513D1"/>
    <w:rsid w:val="00051E89"/>
    <w:rsid w:val="0005497A"/>
    <w:rsid w:val="00056459"/>
    <w:rsid w:val="000565E7"/>
    <w:rsid w:val="000565F9"/>
    <w:rsid w:val="00056619"/>
    <w:rsid w:val="000566BA"/>
    <w:rsid w:val="0006040F"/>
    <w:rsid w:val="000628EA"/>
    <w:rsid w:val="00062F98"/>
    <w:rsid w:val="00063646"/>
    <w:rsid w:val="00063812"/>
    <w:rsid w:val="0006396C"/>
    <w:rsid w:val="0006420F"/>
    <w:rsid w:val="00065E1A"/>
    <w:rsid w:val="000661CE"/>
    <w:rsid w:val="000674A4"/>
    <w:rsid w:val="0006755B"/>
    <w:rsid w:val="0006795B"/>
    <w:rsid w:val="0007178A"/>
    <w:rsid w:val="00072985"/>
    <w:rsid w:val="000746E3"/>
    <w:rsid w:val="000768AB"/>
    <w:rsid w:val="00077E77"/>
    <w:rsid w:val="00080299"/>
    <w:rsid w:val="00081050"/>
    <w:rsid w:val="000820E7"/>
    <w:rsid w:val="00082154"/>
    <w:rsid w:val="00084162"/>
    <w:rsid w:val="000905C7"/>
    <w:rsid w:val="000915CE"/>
    <w:rsid w:val="00091A07"/>
    <w:rsid w:val="000946D9"/>
    <w:rsid w:val="00094CA0"/>
    <w:rsid w:val="0009638D"/>
    <w:rsid w:val="000A00AD"/>
    <w:rsid w:val="000A0229"/>
    <w:rsid w:val="000A0C2D"/>
    <w:rsid w:val="000A158D"/>
    <w:rsid w:val="000A7F14"/>
    <w:rsid w:val="000B0C7F"/>
    <w:rsid w:val="000B0E4A"/>
    <w:rsid w:val="000B1819"/>
    <w:rsid w:val="000B30AD"/>
    <w:rsid w:val="000B3140"/>
    <w:rsid w:val="000B44FC"/>
    <w:rsid w:val="000B79D7"/>
    <w:rsid w:val="000C18B8"/>
    <w:rsid w:val="000C3D90"/>
    <w:rsid w:val="000C436D"/>
    <w:rsid w:val="000C7AF0"/>
    <w:rsid w:val="000D1A29"/>
    <w:rsid w:val="000D23DE"/>
    <w:rsid w:val="000D61A9"/>
    <w:rsid w:val="000D65DA"/>
    <w:rsid w:val="000D762A"/>
    <w:rsid w:val="000E0D2E"/>
    <w:rsid w:val="000E1B4D"/>
    <w:rsid w:val="000E316E"/>
    <w:rsid w:val="000E7033"/>
    <w:rsid w:val="000F0672"/>
    <w:rsid w:val="000F07D0"/>
    <w:rsid w:val="000F084C"/>
    <w:rsid w:val="000F1AA0"/>
    <w:rsid w:val="000F221E"/>
    <w:rsid w:val="000F7ED3"/>
    <w:rsid w:val="00100444"/>
    <w:rsid w:val="00101749"/>
    <w:rsid w:val="00103151"/>
    <w:rsid w:val="001035B7"/>
    <w:rsid w:val="001041B1"/>
    <w:rsid w:val="001046B3"/>
    <w:rsid w:val="00107098"/>
    <w:rsid w:val="00111738"/>
    <w:rsid w:val="001127DC"/>
    <w:rsid w:val="00117553"/>
    <w:rsid w:val="00120CED"/>
    <w:rsid w:val="00122AA3"/>
    <w:rsid w:val="00125D7C"/>
    <w:rsid w:val="00126FCF"/>
    <w:rsid w:val="00127393"/>
    <w:rsid w:val="00127F40"/>
    <w:rsid w:val="00131DE3"/>
    <w:rsid w:val="00132250"/>
    <w:rsid w:val="00133533"/>
    <w:rsid w:val="00135E43"/>
    <w:rsid w:val="0013731B"/>
    <w:rsid w:val="001402C5"/>
    <w:rsid w:val="001417B8"/>
    <w:rsid w:val="00143CCF"/>
    <w:rsid w:val="001443B3"/>
    <w:rsid w:val="0015121F"/>
    <w:rsid w:val="00152630"/>
    <w:rsid w:val="0015526F"/>
    <w:rsid w:val="001574A8"/>
    <w:rsid w:val="00160E8E"/>
    <w:rsid w:val="00160FC6"/>
    <w:rsid w:val="00162CE4"/>
    <w:rsid w:val="0016427E"/>
    <w:rsid w:val="001642DE"/>
    <w:rsid w:val="00167555"/>
    <w:rsid w:val="0017096B"/>
    <w:rsid w:val="0017162C"/>
    <w:rsid w:val="0017411B"/>
    <w:rsid w:val="001749D2"/>
    <w:rsid w:val="001761C3"/>
    <w:rsid w:val="00176317"/>
    <w:rsid w:val="00177E33"/>
    <w:rsid w:val="0018386F"/>
    <w:rsid w:val="001871FA"/>
    <w:rsid w:val="001873E0"/>
    <w:rsid w:val="00191F89"/>
    <w:rsid w:val="00192A85"/>
    <w:rsid w:val="00192AFD"/>
    <w:rsid w:val="00193EB1"/>
    <w:rsid w:val="001953F6"/>
    <w:rsid w:val="00195E47"/>
    <w:rsid w:val="001976F6"/>
    <w:rsid w:val="001A0F10"/>
    <w:rsid w:val="001A2DB8"/>
    <w:rsid w:val="001A2FFE"/>
    <w:rsid w:val="001A5728"/>
    <w:rsid w:val="001A66CA"/>
    <w:rsid w:val="001A75A9"/>
    <w:rsid w:val="001B13DA"/>
    <w:rsid w:val="001B259A"/>
    <w:rsid w:val="001B722D"/>
    <w:rsid w:val="001C04EE"/>
    <w:rsid w:val="001C0C6D"/>
    <w:rsid w:val="001C38FE"/>
    <w:rsid w:val="001C58AB"/>
    <w:rsid w:val="001C6D22"/>
    <w:rsid w:val="001D150D"/>
    <w:rsid w:val="001D3625"/>
    <w:rsid w:val="001D6E07"/>
    <w:rsid w:val="001D7EEE"/>
    <w:rsid w:val="001E2B31"/>
    <w:rsid w:val="001E4189"/>
    <w:rsid w:val="001E4ACA"/>
    <w:rsid w:val="001E6F0B"/>
    <w:rsid w:val="001E7EF8"/>
    <w:rsid w:val="001F07A3"/>
    <w:rsid w:val="001F1CFA"/>
    <w:rsid w:val="001F1FE9"/>
    <w:rsid w:val="001F241D"/>
    <w:rsid w:val="001F26E1"/>
    <w:rsid w:val="001F376F"/>
    <w:rsid w:val="001F384F"/>
    <w:rsid w:val="001F6CB8"/>
    <w:rsid w:val="001F6F3D"/>
    <w:rsid w:val="001F7323"/>
    <w:rsid w:val="00203C89"/>
    <w:rsid w:val="002044C3"/>
    <w:rsid w:val="0020554D"/>
    <w:rsid w:val="0020672A"/>
    <w:rsid w:val="002071C7"/>
    <w:rsid w:val="002108D7"/>
    <w:rsid w:val="00211279"/>
    <w:rsid w:val="00211E14"/>
    <w:rsid w:val="00211E5B"/>
    <w:rsid w:val="002124CB"/>
    <w:rsid w:val="002127D6"/>
    <w:rsid w:val="00212825"/>
    <w:rsid w:val="00212B56"/>
    <w:rsid w:val="0021410A"/>
    <w:rsid w:val="00214D48"/>
    <w:rsid w:val="00214E6D"/>
    <w:rsid w:val="00216616"/>
    <w:rsid w:val="00216E83"/>
    <w:rsid w:val="00217889"/>
    <w:rsid w:val="00217EE3"/>
    <w:rsid w:val="00220C1F"/>
    <w:rsid w:val="00222C29"/>
    <w:rsid w:val="00222E9B"/>
    <w:rsid w:val="00224FD1"/>
    <w:rsid w:val="002254CF"/>
    <w:rsid w:val="00226691"/>
    <w:rsid w:val="002331F3"/>
    <w:rsid w:val="0023410B"/>
    <w:rsid w:val="00234FE5"/>
    <w:rsid w:val="002369C6"/>
    <w:rsid w:val="002443A4"/>
    <w:rsid w:val="00244DB8"/>
    <w:rsid w:val="002479D9"/>
    <w:rsid w:val="0025071E"/>
    <w:rsid w:val="00250A34"/>
    <w:rsid w:val="0025394D"/>
    <w:rsid w:val="0025429A"/>
    <w:rsid w:val="002549A5"/>
    <w:rsid w:val="00255EF8"/>
    <w:rsid w:val="00256026"/>
    <w:rsid w:val="002574ED"/>
    <w:rsid w:val="00260144"/>
    <w:rsid w:val="0026082F"/>
    <w:rsid w:val="002630F6"/>
    <w:rsid w:val="002674FE"/>
    <w:rsid w:val="00267E76"/>
    <w:rsid w:val="00271D8B"/>
    <w:rsid w:val="00272633"/>
    <w:rsid w:val="002727A2"/>
    <w:rsid w:val="00273187"/>
    <w:rsid w:val="002740B2"/>
    <w:rsid w:val="00276886"/>
    <w:rsid w:val="00277E53"/>
    <w:rsid w:val="00280418"/>
    <w:rsid w:val="00282357"/>
    <w:rsid w:val="00284D77"/>
    <w:rsid w:val="00285355"/>
    <w:rsid w:val="00286EF3"/>
    <w:rsid w:val="00287198"/>
    <w:rsid w:val="0029057C"/>
    <w:rsid w:val="00290E35"/>
    <w:rsid w:val="00292D77"/>
    <w:rsid w:val="00295046"/>
    <w:rsid w:val="002A264B"/>
    <w:rsid w:val="002A3F80"/>
    <w:rsid w:val="002A435D"/>
    <w:rsid w:val="002A5483"/>
    <w:rsid w:val="002A5B49"/>
    <w:rsid w:val="002A616B"/>
    <w:rsid w:val="002A695E"/>
    <w:rsid w:val="002B3820"/>
    <w:rsid w:val="002B676F"/>
    <w:rsid w:val="002C063F"/>
    <w:rsid w:val="002C0886"/>
    <w:rsid w:val="002C1320"/>
    <w:rsid w:val="002C5627"/>
    <w:rsid w:val="002C616E"/>
    <w:rsid w:val="002C6C32"/>
    <w:rsid w:val="002C6E04"/>
    <w:rsid w:val="002C6E3C"/>
    <w:rsid w:val="002C758A"/>
    <w:rsid w:val="002D01AC"/>
    <w:rsid w:val="002D50BB"/>
    <w:rsid w:val="002D5197"/>
    <w:rsid w:val="002D6E9D"/>
    <w:rsid w:val="002E183E"/>
    <w:rsid w:val="002E5AD7"/>
    <w:rsid w:val="002E5BD3"/>
    <w:rsid w:val="002F222F"/>
    <w:rsid w:val="002F2CC0"/>
    <w:rsid w:val="002F2D54"/>
    <w:rsid w:val="002F4215"/>
    <w:rsid w:val="002F6386"/>
    <w:rsid w:val="002F6D95"/>
    <w:rsid w:val="002F6E5B"/>
    <w:rsid w:val="002F7DC5"/>
    <w:rsid w:val="00303BBF"/>
    <w:rsid w:val="00304647"/>
    <w:rsid w:val="003055D0"/>
    <w:rsid w:val="003067FD"/>
    <w:rsid w:val="0030750E"/>
    <w:rsid w:val="00307F75"/>
    <w:rsid w:val="0031034D"/>
    <w:rsid w:val="003115B7"/>
    <w:rsid w:val="00311AD6"/>
    <w:rsid w:val="003133BC"/>
    <w:rsid w:val="00314AA3"/>
    <w:rsid w:val="0031723F"/>
    <w:rsid w:val="0032029A"/>
    <w:rsid w:val="003203C3"/>
    <w:rsid w:val="00321A9C"/>
    <w:rsid w:val="0032315E"/>
    <w:rsid w:val="003239FE"/>
    <w:rsid w:val="00324D62"/>
    <w:rsid w:val="00325F37"/>
    <w:rsid w:val="00326FD5"/>
    <w:rsid w:val="00332590"/>
    <w:rsid w:val="00336CE7"/>
    <w:rsid w:val="0033753D"/>
    <w:rsid w:val="00337888"/>
    <w:rsid w:val="00341DDA"/>
    <w:rsid w:val="00342E94"/>
    <w:rsid w:val="00343A6C"/>
    <w:rsid w:val="00350FEB"/>
    <w:rsid w:val="003537E5"/>
    <w:rsid w:val="003555DF"/>
    <w:rsid w:val="00360118"/>
    <w:rsid w:val="0036088F"/>
    <w:rsid w:val="00363D67"/>
    <w:rsid w:val="00365325"/>
    <w:rsid w:val="00366EDE"/>
    <w:rsid w:val="003701E6"/>
    <w:rsid w:val="00370A6E"/>
    <w:rsid w:val="00372CEE"/>
    <w:rsid w:val="00372E9B"/>
    <w:rsid w:val="00373A97"/>
    <w:rsid w:val="0037478D"/>
    <w:rsid w:val="00376CC1"/>
    <w:rsid w:val="003806D0"/>
    <w:rsid w:val="003820FA"/>
    <w:rsid w:val="00382CC0"/>
    <w:rsid w:val="00383E9C"/>
    <w:rsid w:val="00386394"/>
    <w:rsid w:val="003938CE"/>
    <w:rsid w:val="00394BF4"/>
    <w:rsid w:val="00394C7C"/>
    <w:rsid w:val="00394D0F"/>
    <w:rsid w:val="00395727"/>
    <w:rsid w:val="00397401"/>
    <w:rsid w:val="003A05BD"/>
    <w:rsid w:val="003A093A"/>
    <w:rsid w:val="003A0BB7"/>
    <w:rsid w:val="003A461E"/>
    <w:rsid w:val="003A6A29"/>
    <w:rsid w:val="003A7BE6"/>
    <w:rsid w:val="003B528C"/>
    <w:rsid w:val="003B7F1D"/>
    <w:rsid w:val="003C1C1C"/>
    <w:rsid w:val="003C25A2"/>
    <w:rsid w:val="003C41D1"/>
    <w:rsid w:val="003C526E"/>
    <w:rsid w:val="003C5BF4"/>
    <w:rsid w:val="003C63E6"/>
    <w:rsid w:val="003C67E8"/>
    <w:rsid w:val="003D10D7"/>
    <w:rsid w:val="003D13D9"/>
    <w:rsid w:val="003D2119"/>
    <w:rsid w:val="003D2931"/>
    <w:rsid w:val="003D4304"/>
    <w:rsid w:val="003D43F5"/>
    <w:rsid w:val="003D568E"/>
    <w:rsid w:val="003D5E35"/>
    <w:rsid w:val="003D7535"/>
    <w:rsid w:val="003E349A"/>
    <w:rsid w:val="003F2263"/>
    <w:rsid w:val="003F461B"/>
    <w:rsid w:val="003F66F7"/>
    <w:rsid w:val="00402B4A"/>
    <w:rsid w:val="00403E13"/>
    <w:rsid w:val="004109FA"/>
    <w:rsid w:val="00410A71"/>
    <w:rsid w:val="0041170D"/>
    <w:rsid w:val="00412058"/>
    <w:rsid w:val="00413C99"/>
    <w:rsid w:val="00414770"/>
    <w:rsid w:val="00417A42"/>
    <w:rsid w:val="00425957"/>
    <w:rsid w:val="00425B72"/>
    <w:rsid w:val="00425BBC"/>
    <w:rsid w:val="00426802"/>
    <w:rsid w:val="004273BF"/>
    <w:rsid w:val="00430168"/>
    <w:rsid w:val="00431652"/>
    <w:rsid w:val="00432C13"/>
    <w:rsid w:val="0043328B"/>
    <w:rsid w:val="0043356D"/>
    <w:rsid w:val="00436952"/>
    <w:rsid w:val="00436B77"/>
    <w:rsid w:val="004410F3"/>
    <w:rsid w:val="0044136E"/>
    <w:rsid w:val="00441416"/>
    <w:rsid w:val="00441C13"/>
    <w:rsid w:val="00441EDD"/>
    <w:rsid w:val="00442400"/>
    <w:rsid w:val="0044270F"/>
    <w:rsid w:val="00443BD5"/>
    <w:rsid w:val="00446123"/>
    <w:rsid w:val="004473AB"/>
    <w:rsid w:val="004528B5"/>
    <w:rsid w:val="0045378A"/>
    <w:rsid w:val="004606C1"/>
    <w:rsid w:val="00461DB7"/>
    <w:rsid w:val="004636E0"/>
    <w:rsid w:val="00464FB9"/>
    <w:rsid w:val="00466133"/>
    <w:rsid w:val="0047278C"/>
    <w:rsid w:val="0047521E"/>
    <w:rsid w:val="004753ED"/>
    <w:rsid w:val="004759BF"/>
    <w:rsid w:val="00475C93"/>
    <w:rsid w:val="00476651"/>
    <w:rsid w:val="004776AD"/>
    <w:rsid w:val="00481267"/>
    <w:rsid w:val="00481CA3"/>
    <w:rsid w:val="0048228D"/>
    <w:rsid w:val="0048458C"/>
    <w:rsid w:val="00484E75"/>
    <w:rsid w:val="004859CB"/>
    <w:rsid w:val="00485ED0"/>
    <w:rsid w:val="0048663F"/>
    <w:rsid w:val="004869CF"/>
    <w:rsid w:val="00490D79"/>
    <w:rsid w:val="00491C98"/>
    <w:rsid w:val="00493410"/>
    <w:rsid w:val="00494933"/>
    <w:rsid w:val="00494C57"/>
    <w:rsid w:val="00495249"/>
    <w:rsid w:val="004954F4"/>
    <w:rsid w:val="00496002"/>
    <w:rsid w:val="00497409"/>
    <w:rsid w:val="004A2A66"/>
    <w:rsid w:val="004A2BFC"/>
    <w:rsid w:val="004A4410"/>
    <w:rsid w:val="004A6A19"/>
    <w:rsid w:val="004A74EC"/>
    <w:rsid w:val="004A7784"/>
    <w:rsid w:val="004A79FD"/>
    <w:rsid w:val="004B1AF1"/>
    <w:rsid w:val="004B2A9D"/>
    <w:rsid w:val="004B4471"/>
    <w:rsid w:val="004C0AD0"/>
    <w:rsid w:val="004C1B70"/>
    <w:rsid w:val="004C200F"/>
    <w:rsid w:val="004C2B5D"/>
    <w:rsid w:val="004C4E70"/>
    <w:rsid w:val="004C5C5E"/>
    <w:rsid w:val="004C5D6B"/>
    <w:rsid w:val="004C628E"/>
    <w:rsid w:val="004C76AF"/>
    <w:rsid w:val="004D1E05"/>
    <w:rsid w:val="004D2F9F"/>
    <w:rsid w:val="004D4696"/>
    <w:rsid w:val="004D5346"/>
    <w:rsid w:val="004D7741"/>
    <w:rsid w:val="004E30D6"/>
    <w:rsid w:val="004E502A"/>
    <w:rsid w:val="004E5759"/>
    <w:rsid w:val="004E7DED"/>
    <w:rsid w:val="004F1811"/>
    <w:rsid w:val="004F2A6A"/>
    <w:rsid w:val="004F2AD7"/>
    <w:rsid w:val="004F301C"/>
    <w:rsid w:val="004F419D"/>
    <w:rsid w:val="004F45AE"/>
    <w:rsid w:val="004F526A"/>
    <w:rsid w:val="004F5A87"/>
    <w:rsid w:val="0050050A"/>
    <w:rsid w:val="00500B9D"/>
    <w:rsid w:val="00500F6F"/>
    <w:rsid w:val="0050160B"/>
    <w:rsid w:val="0050547F"/>
    <w:rsid w:val="0050569C"/>
    <w:rsid w:val="00507076"/>
    <w:rsid w:val="00507969"/>
    <w:rsid w:val="005137DC"/>
    <w:rsid w:val="00515A43"/>
    <w:rsid w:val="005164FC"/>
    <w:rsid w:val="00517DE0"/>
    <w:rsid w:val="00520AE8"/>
    <w:rsid w:val="00522054"/>
    <w:rsid w:val="00522CC4"/>
    <w:rsid w:val="005243EB"/>
    <w:rsid w:val="00524E63"/>
    <w:rsid w:val="00525204"/>
    <w:rsid w:val="0052621B"/>
    <w:rsid w:val="0052685F"/>
    <w:rsid w:val="00527D48"/>
    <w:rsid w:val="00530B5C"/>
    <w:rsid w:val="0053134F"/>
    <w:rsid w:val="005319CD"/>
    <w:rsid w:val="00531C72"/>
    <w:rsid w:val="00532468"/>
    <w:rsid w:val="00533C94"/>
    <w:rsid w:val="00537354"/>
    <w:rsid w:val="00537AAB"/>
    <w:rsid w:val="005422B5"/>
    <w:rsid w:val="005449D3"/>
    <w:rsid w:val="00544B66"/>
    <w:rsid w:val="0054564F"/>
    <w:rsid w:val="00547C84"/>
    <w:rsid w:val="00550113"/>
    <w:rsid w:val="005526C5"/>
    <w:rsid w:val="0055452D"/>
    <w:rsid w:val="00554E48"/>
    <w:rsid w:val="00555A18"/>
    <w:rsid w:val="00556DB5"/>
    <w:rsid w:val="00557511"/>
    <w:rsid w:val="0056008B"/>
    <w:rsid w:val="005602B7"/>
    <w:rsid w:val="005656C4"/>
    <w:rsid w:val="00567ECA"/>
    <w:rsid w:val="0057045D"/>
    <w:rsid w:val="00571016"/>
    <w:rsid w:val="0057274B"/>
    <w:rsid w:val="00577254"/>
    <w:rsid w:val="00580E8F"/>
    <w:rsid w:val="00581032"/>
    <w:rsid w:val="00583AE8"/>
    <w:rsid w:val="00583DB7"/>
    <w:rsid w:val="00584BC3"/>
    <w:rsid w:val="00584C33"/>
    <w:rsid w:val="005865A3"/>
    <w:rsid w:val="005875D5"/>
    <w:rsid w:val="00587D2A"/>
    <w:rsid w:val="00590F68"/>
    <w:rsid w:val="00592F85"/>
    <w:rsid w:val="0059328A"/>
    <w:rsid w:val="00593C15"/>
    <w:rsid w:val="00593E8E"/>
    <w:rsid w:val="00594AC7"/>
    <w:rsid w:val="00594FFD"/>
    <w:rsid w:val="005956E6"/>
    <w:rsid w:val="00595AAB"/>
    <w:rsid w:val="00596427"/>
    <w:rsid w:val="005975C1"/>
    <w:rsid w:val="005A40F2"/>
    <w:rsid w:val="005A7BDD"/>
    <w:rsid w:val="005B11F9"/>
    <w:rsid w:val="005B308C"/>
    <w:rsid w:val="005B493A"/>
    <w:rsid w:val="005B529B"/>
    <w:rsid w:val="005B53C5"/>
    <w:rsid w:val="005C1997"/>
    <w:rsid w:val="005C3513"/>
    <w:rsid w:val="005C3667"/>
    <w:rsid w:val="005C5011"/>
    <w:rsid w:val="005C68BB"/>
    <w:rsid w:val="005C6995"/>
    <w:rsid w:val="005C7376"/>
    <w:rsid w:val="005D09E8"/>
    <w:rsid w:val="005D3FEE"/>
    <w:rsid w:val="005D49C1"/>
    <w:rsid w:val="005D5713"/>
    <w:rsid w:val="005D57C1"/>
    <w:rsid w:val="005D7810"/>
    <w:rsid w:val="005E106A"/>
    <w:rsid w:val="005E1CF9"/>
    <w:rsid w:val="005E1DAF"/>
    <w:rsid w:val="005F003C"/>
    <w:rsid w:val="005F109A"/>
    <w:rsid w:val="005F1B3B"/>
    <w:rsid w:val="005F3935"/>
    <w:rsid w:val="005F3FDA"/>
    <w:rsid w:val="005F7BB7"/>
    <w:rsid w:val="00601B3B"/>
    <w:rsid w:val="00602718"/>
    <w:rsid w:val="00603216"/>
    <w:rsid w:val="006038DB"/>
    <w:rsid w:val="00605138"/>
    <w:rsid w:val="0060745F"/>
    <w:rsid w:val="00610EE6"/>
    <w:rsid w:val="00611C83"/>
    <w:rsid w:val="006120B9"/>
    <w:rsid w:val="00614B86"/>
    <w:rsid w:val="00615D41"/>
    <w:rsid w:val="006201A6"/>
    <w:rsid w:val="00621DC0"/>
    <w:rsid w:val="00626D18"/>
    <w:rsid w:val="0062732A"/>
    <w:rsid w:val="0062771A"/>
    <w:rsid w:val="00630B7C"/>
    <w:rsid w:val="00630E91"/>
    <w:rsid w:val="00632FC2"/>
    <w:rsid w:val="00634584"/>
    <w:rsid w:val="006367BD"/>
    <w:rsid w:val="00640741"/>
    <w:rsid w:val="0064237F"/>
    <w:rsid w:val="00644145"/>
    <w:rsid w:val="006443C3"/>
    <w:rsid w:val="0064499D"/>
    <w:rsid w:val="0064639F"/>
    <w:rsid w:val="00646F78"/>
    <w:rsid w:val="0064739E"/>
    <w:rsid w:val="00652827"/>
    <w:rsid w:val="0065286A"/>
    <w:rsid w:val="00654D4B"/>
    <w:rsid w:val="00654ED6"/>
    <w:rsid w:val="00657592"/>
    <w:rsid w:val="0065776A"/>
    <w:rsid w:val="0066274F"/>
    <w:rsid w:val="00663BCA"/>
    <w:rsid w:val="00664993"/>
    <w:rsid w:val="0066578B"/>
    <w:rsid w:val="0066749B"/>
    <w:rsid w:val="00670840"/>
    <w:rsid w:val="0067215D"/>
    <w:rsid w:val="006734DC"/>
    <w:rsid w:val="0067429E"/>
    <w:rsid w:val="00675A75"/>
    <w:rsid w:val="006769DC"/>
    <w:rsid w:val="00680A08"/>
    <w:rsid w:val="00680BF0"/>
    <w:rsid w:val="006826ED"/>
    <w:rsid w:val="00682D7E"/>
    <w:rsid w:val="0069341C"/>
    <w:rsid w:val="006943FE"/>
    <w:rsid w:val="00695B2A"/>
    <w:rsid w:val="00696682"/>
    <w:rsid w:val="006A0BCE"/>
    <w:rsid w:val="006A39AD"/>
    <w:rsid w:val="006A3EB9"/>
    <w:rsid w:val="006A7B90"/>
    <w:rsid w:val="006B2D80"/>
    <w:rsid w:val="006B33BF"/>
    <w:rsid w:val="006B4590"/>
    <w:rsid w:val="006B57F2"/>
    <w:rsid w:val="006B68BF"/>
    <w:rsid w:val="006C10B5"/>
    <w:rsid w:val="006C1728"/>
    <w:rsid w:val="006C2A2F"/>
    <w:rsid w:val="006D06E8"/>
    <w:rsid w:val="006D0DC0"/>
    <w:rsid w:val="006D1259"/>
    <w:rsid w:val="006D2C05"/>
    <w:rsid w:val="006D467A"/>
    <w:rsid w:val="006D6B1D"/>
    <w:rsid w:val="006E0515"/>
    <w:rsid w:val="006E25F0"/>
    <w:rsid w:val="006E2D60"/>
    <w:rsid w:val="006E5F15"/>
    <w:rsid w:val="006F7553"/>
    <w:rsid w:val="00700E85"/>
    <w:rsid w:val="00701E9C"/>
    <w:rsid w:val="0070488D"/>
    <w:rsid w:val="00713D2B"/>
    <w:rsid w:val="00716AF1"/>
    <w:rsid w:val="0071748E"/>
    <w:rsid w:val="00724480"/>
    <w:rsid w:val="00724E11"/>
    <w:rsid w:val="0073178C"/>
    <w:rsid w:val="007330F0"/>
    <w:rsid w:val="00734660"/>
    <w:rsid w:val="007347AE"/>
    <w:rsid w:val="007351E4"/>
    <w:rsid w:val="007403E4"/>
    <w:rsid w:val="00741087"/>
    <w:rsid w:val="00741661"/>
    <w:rsid w:val="0074249E"/>
    <w:rsid w:val="00746A32"/>
    <w:rsid w:val="007475EA"/>
    <w:rsid w:val="0074781F"/>
    <w:rsid w:val="00750C55"/>
    <w:rsid w:val="0075120A"/>
    <w:rsid w:val="0075177E"/>
    <w:rsid w:val="007524C3"/>
    <w:rsid w:val="00753B05"/>
    <w:rsid w:val="007541F2"/>
    <w:rsid w:val="00754290"/>
    <w:rsid w:val="0075450B"/>
    <w:rsid w:val="0075526D"/>
    <w:rsid w:val="00761F88"/>
    <w:rsid w:val="00764110"/>
    <w:rsid w:val="00764E38"/>
    <w:rsid w:val="00771A5E"/>
    <w:rsid w:val="00771BB0"/>
    <w:rsid w:val="00772324"/>
    <w:rsid w:val="00772C80"/>
    <w:rsid w:val="0077396D"/>
    <w:rsid w:val="007765BB"/>
    <w:rsid w:val="00781F77"/>
    <w:rsid w:val="00785AB3"/>
    <w:rsid w:val="0079213D"/>
    <w:rsid w:val="00792C02"/>
    <w:rsid w:val="00793717"/>
    <w:rsid w:val="007955F2"/>
    <w:rsid w:val="00795D70"/>
    <w:rsid w:val="00796DB2"/>
    <w:rsid w:val="00797D01"/>
    <w:rsid w:val="007A1323"/>
    <w:rsid w:val="007A3B96"/>
    <w:rsid w:val="007A752C"/>
    <w:rsid w:val="007A7805"/>
    <w:rsid w:val="007B2078"/>
    <w:rsid w:val="007B7354"/>
    <w:rsid w:val="007C04BB"/>
    <w:rsid w:val="007C1574"/>
    <w:rsid w:val="007C2A0C"/>
    <w:rsid w:val="007C2AA2"/>
    <w:rsid w:val="007C30B3"/>
    <w:rsid w:val="007C3949"/>
    <w:rsid w:val="007C495A"/>
    <w:rsid w:val="007C5BC1"/>
    <w:rsid w:val="007C6057"/>
    <w:rsid w:val="007C694C"/>
    <w:rsid w:val="007C7BBA"/>
    <w:rsid w:val="007D029D"/>
    <w:rsid w:val="007D058A"/>
    <w:rsid w:val="007D2A8E"/>
    <w:rsid w:val="007D2F5A"/>
    <w:rsid w:val="007D396E"/>
    <w:rsid w:val="007D3B92"/>
    <w:rsid w:val="007D50D4"/>
    <w:rsid w:val="007D5D1F"/>
    <w:rsid w:val="007D5EF1"/>
    <w:rsid w:val="007E0B7B"/>
    <w:rsid w:val="007E164E"/>
    <w:rsid w:val="007E2253"/>
    <w:rsid w:val="007E4DDC"/>
    <w:rsid w:val="007E4F87"/>
    <w:rsid w:val="007E5DE9"/>
    <w:rsid w:val="007E6CCE"/>
    <w:rsid w:val="007E76DC"/>
    <w:rsid w:val="007F0778"/>
    <w:rsid w:val="007F0A00"/>
    <w:rsid w:val="007F1C9F"/>
    <w:rsid w:val="007F22C4"/>
    <w:rsid w:val="007F4713"/>
    <w:rsid w:val="007F7A20"/>
    <w:rsid w:val="00805FC5"/>
    <w:rsid w:val="008070DB"/>
    <w:rsid w:val="00811DC3"/>
    <w:rsid w:val="0081471C"/>
    <w:rsid w:val="0081587D"/>
    <w:rsid w:val="00820DAA"/>
    <w:rsid w:val="0082140D"/>
    <w:rsid w:val="00821FEF"/>
    <w:rsid w:val="008231D6"/>
    <w:rsid w:val="008269E9"/>
    <w:rsid w:val="00827B7B"/>
    <w:rsid w:val="008326C6"/>
    <w:rsid w:val="00832B0C"/>
    <w:rsid w:val="0083622D"/>
    <w:rsid w:val="008369D4"/>
    <w:rsid w:val="00841A54"/>
    <w:rsid w:val="00842753"/>
    <w:rsid w:val="00842913"/>
    <w:rsid w:val="00842D12"/>
    <w:rsid w:val="00843594"/>
    <w:rsid w:val="00844871"/>
    <w:rsid w:val="008448E6"/>
    <w:rsid w:val="008451E5"/>
    <w:rsid w:val="00846BC7"/>
    <w:rsid w:val="00846DC5"/>
    <w:rsid w:val="008476B4"/>
    <w:rsid w:val="00851F76"/>
    <w:rsid w:val="008526C8"/>
    <w:rsid w:val="00853296"/>
    <w:rsid w:val="00853343"/>
    <w:rsid w:val="0085343A"/>
    <w:rsid w:val="0085491F"/>
    <w:rsid w:val="00855629"/>
    <w:rsid w:val="008568D5"/>
    <w:rsid w:val="0085725F"/>
    <w:rsid w:val="008579B3"/>
    <w:rsid w:val="00857B06"/>
    <w:rsid w:val="0086115B"/>
    <w:rsid w:val="008667E5"/>
    <w:rsid w:val="00866E79"/>
    <w:rsid w:val="008672A7"/>
    <w:rsid w:val="00870050"/>
    <w:rsid w:val="008702AA"/>
    <w:rsid w:val="008726B0"/>
    <w:rsid w:val="00872B9A"/>
    <w:rsid w:val="00872FAE"/>
    <w:rsid w:val="0087472D"/>
    <w:rsid w:val="0087494B"/>
    <w:rsid w:val="00874E3C"/>
    <w:rsid w:val="00876C7F"/>
    <w:rsid w:val="00876EFF"/>
    <w:rsid w:val="0087720D"/>
    <w:rsid w:val="008774D3"/>
    <w:rsid w:val="00880BCB"/>
    <w:rsid w:val="00880C72"/>
    <w:rsid w:val="008861D8"/>
    <w:rsid w:val="00886C7A"/>
    <w:rsid w:val="008874DE"/>
    <w:rsid w:val="00887D2C"/>
    <w:rsid w:val="008907DD"/>
    <w:rsid w:val="008915B3"/>
    <w:rsid w:val="008917D1"/>
    <w:rsid w:val="008917FE"/>
    <w:rsid w:val="00892360"/>
    <w:rsid w:val="00893AB0"/>
    <w:rsid w:val="00894B65"/>
    <w:rsid w:val="0089502B"/>
    <w:rsid w:val="00897254"/>
    <w:rsid w:val="00897908"/>
    <w:rsid w:val="008A1AE6"/>
    <w:rsid w:val="008A2880"/>
    <w:rsid w:val="008A736E"/>
    <w:rsid w:val="008A7C4F"/>
    <w:rsid w:val="008B0AFA"/>
    <w:rsid w:val="008B5458"/>
    <w:rsid w:val="008C1927"/>
    <w:rsid w:val="008C2600"/>
    <w:rsid w:val="008C4ADF"/>
    <w:rsid w:val="008C56D0"/>
    <w:rsid w:val="008D07DA"/>
    <w:rsid w:val="008D2A0C"/>
    <w:rsid w:val="008D3722"/>
    <w:rsid w:val="008D53DC"/>
    <w:rsid w:val="008E6081"/>
    <w:rsid w:val="008E672E"/>
    <w:rsid w:val="008E6CF7"/>
    <w:rsid w:val="008F5686"/>
    <w:rsid w:val="008F66BA"/>
    <w:rsid w:val="008F72B1"/>
    <w:rsid w:val="00901530"/>
    <w:rsid w:val="0090183C"/>
    <w:rsid w:val="00901D0B"/>
    <w:rsid w:val="00901FA7"/>
    <w:rsid w:val="00903571"/>
    <w:rsid w:val="00903701"/>
    <w:rsid w:val="00903A15"/>
    <w:rsid w:val="00903EB0"/>
    <w:rsid w:val="00906809"/>
    <w:rsid w:val="00913275"/>
    <w:rsid w:val="009152BE"/>
    <w:rsid w:val="009173D7"/>
    <w:rsid w:val="00917562"/>
    <w:rsid w:val="00917AF7"/>
    <w:rsid w:val="009238FE"/>
    <w:rsid w:val="00923A31"/>
    <w:rsid w:val="0092502E"/>
    <w:rsid w:val="0092609F"/>
    <w:rsid w:val="00926483"/>
    <w:rsid w:val="00926878"/>
    <w:rsid w:val="009300B3"/>
    <w:rsid w:val="00936090"/>
    <w:rsid w:val="0094317A"/>
    <w:rsid w:val="009431E7"/>
    <w:rsid w:val="00946115"/>
    <w:rsid w:val="00947546"/>
    <w:rsid w:val="00947EB9"/>
    <w:rsid w:val="009503A9"/>
    <w:rsid w:val="00950BAE"/>
    <w:rsid w:val="00954CF0"/>
    <w:rsid w:val="00956A4E"/>
    <w:rsid w:val="00960AE9"/>
    <w:rsid w:val="00964169"/>
    <w:rsid w:val="00964D1C"/>
    <w:rsid w:val="00965823"/>
    <w:rsid w:val="00972E2D"/>
    <w:rsid w:val="009771E9"/>
    <w:rsid w:val="009773B0"/>
    <w:rsid w:val="00981399"/>
    <w:rsid w:val="00981F55"/>
    <w:rsid w:val="009841C6"/>
    <w:rsid w:val="00985707"/>
    <w:rsid w:val="00986D6E"/>
    <w:rsid w:val="009913B5"/>
    <w:rsid w:val="0099150D"/>
    <w:rsid w:val="00992706"/>
    <w:rsid w:val="0099316B"/>
    <w:rsid w:val="00994DAC"/>
    <w:rsid w:val="00995C28"/>
    <w:rsid w:val="00995EB7"/>
    <w:rsid w:val="009969BC"/>
    <w:rsid w:val="009A0942"/>
    <w:rsid w:val="009A2392"/>
    <w:rsid w:val="009A3AB0"/>
    <w:rsid w:val="009A6221"/>
    <w:rsid w:val="009A7F2D"/>
    <w:rsid w:val="009B09BF"/>
    <w:rsid w:val="009B135D"/>
    <w:rsid w:val="009B2001"/>
    <w:rsid w:val="009B6A27"/>
    <w:rsid w:val="009B756D"/>
    <w:rsid w:val="009B7C36"/>
    <w:rsid w:val="009B7E75"/>
    <w:rsid w:val="009D0D11"/>
    <w:rsid w:val="009D1407"/>
    <w:rsid w:val="009D2D83"/>
    <w:rsid w:val="009D6A8E"/>
    <w:rsid w:val="009D76DC"/>
    <w:rsid w:val="009D77F1"/>
    <w:rsid w:val="009E2B52"/>
    <w:rsid w:val="009E3C1B"/>
    <w:rsid w:val="009E47FD"/>
    <w:rsid w:val="009E5AD5"/>
    <w:rsid w:val="009F1503"/>
    <w:rsid w:val="009F17A0"/>
    <w:rsid w:val="009F2305"/>
    <w:rsid w:val="009F2431"/>
    <w:rsid w:val="009F3E29"/>
    <w:rsid w:val="009F42AF"/>
    <w:rsid w:val="009F64E1"/>
    <w:rsid w:val="009F7537"/>
    <w:rsid w:val="00A01937"/>
    <w:rsid w:val="00A0369C"/>
    <w:rsid w:val="00A03B54"/>
    <w:rsid w:val="00A05200"/>
    <w:rsid w:val="00A0565C"/>
    <w:rsid w:val="00A06418"/>
    <w:rsid w:val="00A106E3"/>
    <w:rsid w:val="00A14341"/>
    <w:rsid w:val="00A1761E"/>
    <w:rsid w:val="00A20340"/>
    <w:rsid w:val="00A20491"/>
    <w:rsid w:val="00A2228D"/>
    <w:rsid w:val="00A23445"/>
    <w:rsid w:val="00A24E7A"/>
    <w:rsid w:val="00A25441"/>
    <w:rsid w:val="00A2552E"/>
    <w:rsid w:val="00A25E43"/>
    <w:rsid w:val="00A26F94"/>
    <w:rsid w:val="00A33FEC"/>
    <w:rsid w:val="00A379A1"/>
    <w:rsid w:val="00A40350"/>
    <w:rsid w:val="00A4362A"/>
    <w:rsid w:val="00A43AB6"/>
    <w:rsid w:val="00A47A2E"/>
    <w:rsid w:val="00A47C58"/>
    <w:rsid w:val="00A53EC3"/>
    <w:rsid w:val="00A54432"/>
    <w:rsid w:val="00A5538C"/>
    <w:rsid w:val="00A56C49"/>
    <w:rsid w:val="00A56F94"/>
    <w:rsid w:val="00A64C5F"/>
    <w:rsid w:val="00A64F9C"/>
    <w:rsid w:val="00A64FEE"/>
    <w:rsid w:val="00A6532F"/>
    <w:rsid w:val="00A65C5E"/>
    <w:rsid w:val="00A746CE"/>
    <w:rsid w:val="00A75274"/>
    <w:rsid w:val="00A76714"/>
    <w:rsid w:val="00A8003F"/>
    <w:rsid w:val="00A81B79"/>
    <w:rsid w:val="00A90035"/>
    <w:rsid w:val="00A9348F"/>
    <w:rsid w:val="00A94DF7"/>
    <w:rsid w:val="00A9592B"/>
    <w:rsid w:val="00AA1671"/>
    <w:rsid w:val="00AA2E5E"/>
    <w:rsid w:val="00AA4628"/>
    <w:rsid w:val="00AA49BE"/>
    <w:rsid w:val="00AA5102"/>
    <w:rsid w:val="00AA7A32"/>
    <w:rsid w:val="00AB08EF"/>
    <w:rsid w:val="00AC0E62"/>
    <w:rsid w:val="00AC1983"/>
    <w:rsid w:val="00AC4DB5"/>
    <w:rsid w:val="00AC65A1"/>
    <w:rsid w:val="00AC66E0"/>
    <w:rsid w:val="00AD12EB"/>
    <w:rsid w:val="00AD4832"/>
    <w:rsid w:val="00AD5537"/>
    <w:rsid w:val="00AD5A2D"/>
    <w:rsid w:val="00AD653E"/>
    <w:rsid w:val="00AD6D28"/>
    <w:rsid w:val="00AE0069"/>
    <w:rsid w:val="00AE041C"/>
    <w:rsid w:val="00AE0659"/>
    <w:rsid w:val="00AE1380"/>
    <w:rsid w:val="00AE5C2D"/>
    <w:rsid w:val="00AF04CE"/>
    <w:rsid w:val="00AF5195"/>
    <w:rsid w:val="00AF5EAE"/>
    <w:rsid w:val="00AF738C"/>
    <w:rsid w:val="00B0035D"/>
    <w:rsid w:val="00B0072E"/>
    <w:rsid w:val="00B00EE4"/>
    <w:rsid w:val="00B0762D"/>
    <w:rsid w:val="00B0791D"/>
    <w:rsid w:val="00B07D6C"/>
    <w:rsid w:val="00B1074A"/>
    <w:rsid w:val="00B11D4A"/>
    <w:rsid w:val="00B13AA2"/>
    <w:rsid w:val="00B13CC3"/>
    <w:rsid w:val="00B13D10"/>
    <w:rsid w:val="00B14FEE"/>
    <w:rsid w:val="00B17B2D"/>
    <w:rsid w:val="00B17CE1"/>
    <w:rsid w:val="00B2107B"/>
    <w:rsid w:val="00B21986"/>
    <w:rsid w:val="00B22696"/>
    <w:rsid w:val="00B227DE"/>
    <w:rsid w:val="00B2307D"/>
    <w:rsid w:val="00B26296"/>
    <w:rsid w:val="00B30860"/>
    <w:rsid w:val="00B3284F"/>
    <w:rsid w:val="00B36E83"/>
    <w:rsid w:val="00B41A3D"/>
    <w:rsid w:val="00B42100"/>
    <w:rsid w:val="00B474AB"/>
    <w:rsid w:val="00B474F8"/>
    <w:rsid w:val="00B50F6D"/>
    <w:rsid w:val="00B519BC"/>
    <w:rsid w:val="00B53A27"/>
    <w:rsid w:val="00B54955"/>
    <w:rsid w:val="00B54C36"/>
    <w:rsid w:val="00B57ADC"/>
    <w:rsid w:val="00B6093A"/>
    <w:rsid w:val="00B66341"/>
    <w:rsid w:val="00B67CC6"/>
    <w:rsid w:val="00B70E83"/>
    <w:rsid w:val="00B719C6"/>
    <w:rsid w:val="00B73559"/>
    <w:rsid w:val="00B74EBF"/>
    <w:rsid w:val="00B773A6"/>
    <w:rsid w:val="00B8031B"/>
    <w:rsid w:val="00B80441"/>
    <w:rsid w:val="00B809E3"/>
    <w:rsid w:val="00B82D5C"/>
    <w:rsid w:val="00B82F59"/>
    <w:rsid w:val="00B84C35"/>
    <w:rsid w:val="00B85DE5"/>
    <w:rsid w:val="00B92877"/>
    <w:rsid w:val="00B94D17"/>
    <w:rsid w:val="00B9502B"/>
    <w:rsid w:val="00B96883"/>
    <w:rsid w:val="00B97594"/>
    <w:rsid w:val="00BA38D1"/>
    <w:rsid w:val="00BA3E40"/>
    <w:rsid w:val="00BA4EC6"/>
    <w:rsid w:val="00BB2604"/>
    <w:rsid w:val="00BB3815"/>
    <w:rsid w:val="00BB4F05"/>
    <w:rsid w:val="00BB5698"/>
    <w:rsid w:val="00BB57DD"/>
    <w:rsid w:val="00BB76EE"/>
    <w:rsid w:val="00BC01F5"/>
    <w:rsid w:val="00BC0DD8"/>
    <w:rsid w:val="00BC19E2"/>
    <w:rsid w:val="00BC2AC7"/>
    <w:rsid w:val="00BC306E"/>
    <w:rsid w:val="00BC39F8"/>
    <w:rsid w:val="00BC4641"/>
    <w:rsid w:val="00BC5D5B"/>
    <w:rsid w:val="00BC636E"/>
    <w:rsid w:val="00BC7FD2"/>
    <w:rsid w:val="00BD0F5E"/>
    <w:rsid w:val="00BD2234"/>
    <w:rsid w:val="00BD2E2F"/>
    <w:rsid w:val="00BD302B"/>
    <w:rsid w:val="00BD3A12"/>
    <w:rsid w:val="00BD3EF8"/>
    <w:rsid w:val="00BD4DC0"/>
    <w:rsid w:val="00BE04B2"/>
    <w:rsid w:val="00BE0C9F"/>
    <w:rsid w:val="00BE614D"/>
    <w:rsid w:val="00BE699A"/>
    <w:rsid w:val="00BF03A5"/>
    <w:rsid w:val="00BF07E0"/>
    <w:rsid w:val="00BF14BE"/>
    <w:rsid w:val="00BF2428"/>
    <w:rsid w:val="00BF2DC7"/>
    <w:rsid w:val="00BF4316"/>
    <w:rsid w:val="00BF799F"/>
    <w:rsid w:val="00BF7B81"/>
    <w:rsid w:val="00C05127"/>
    <w:rsid w:val="00C076C4"/>
    <w:rsid w:val="00C10B84"/>
    <w:rsid w:val="00C11547"/>
    <w:rsid w:val="00C123F8"/>
    <w:rsid w:val="00C14480"/>
    <w:rsid w:val="00C166AF"/>
    <w:rsid w:val="00C17387"/>
    <w:rsid w:val="00C176D1"/>
    <w:rsid w:val="00C17BD8"/>
    <w:rsid w:val="00C17F2F"/>
    <w:rsid w:val="00C207C3"/>
    <w:rsid w:val="00C21BA6"/>
    <w:rsid w:val="00C22156"/>
    <w:rsid w:val="00C225ED"/>
    <w:rsid w:val="00C2349E"/>
    <w:rsid w:val="00C24552"/>
    <w:rsid w:val="00C259BB"/>
    <w:rsid w:val="00C30D92"/>
    <w:rsid w:val="00C315DA"/>
    <w:rsid w:val="00C31C0C"/>
    <w:rsid w:val="00C33E78"/>
    <w:rsid w:val="00C34E4E"/>
    <w:rsid w:val="00C37C5E"/>
    <w:rsid w:val="00C406C7"/>
    <w:rsid w:val="00C41F34"/>
    <w:rsid w:val="00C431DC"/>
    <w:rsid w:val="00C51A9C"/>
    <w:rsid w:val="00C52940"/>
    <w:rsid w:val="00C56073"/>
    <w:rsid w:val="00C568A9"/>
    <w:rsid w:val="00C56D81"/>
    <w:rsid w:val="00C576DC"/>
    <w:rsid w:val="00C57CD5"/>
    <w:rsid w:val="00C60633"/>
    <w:rsid w:val="00C61496"/>
    <w:rsid w:val="00C65F47"/>
    <w:rsid w:val="00C66A56"/>
    <w:rsid w:val="00C67EC1"/>
    <w:rsid w:val="00C7240D"/>
    <w:rsid w:val="00C75F5B"/>
    <w:rsid w:val="00C76909"/>
    <w:rsid w:val="00C773DD"/>
    <w:rsid w:val="00C80BED"/>
    <w:rsid w:val="00C81F0E"/>
    <w:rsid w:val="00C820F4"/>
    <w:rsid w:val="00C82B4A"/>
    <w:rsid w:val="00C83749"/>
    <w:rsid w:val="00C8462F"/>
    <w:rsid w:val="00C8529D"/>
    <w:rsid w:val="00C875EB"/>
    <w:rsid w:val="00C87F09"/>
    <w:rsid w:val="00C9172E"/>
    <w:rsid w:val="00C91ACC"/>
    <w:rsid w:val="00C91F0F"/>
    <w:rsid w:val="00C928E0"/>
    <w:rsid w:val="00C93492"/>
    <w:rsid w:val="00C94B4D"/>
    <w:rsid w:val="00C961E4"/>
    <w:rsid w:val="00CA2FD6"/>
    <w:rsid w:val="00CA388B"/>
    <w:rsid w:val="00CA48FC"/>
    <w:rsid w:val="00CA4A65"/>
    <w:rsid w:val="00CA58C2"/>
    <w:rsid w:val="00CA6DA6"/>
    <w:rsid w:val="00CB17A9"/>
    <w:rsid w:val="00CB58EE"/>
    <w:rsid w:val="00CB5DBA"/>
    <w:rsid w:val="00CC1C1C"/>
    <w:rsid w:val="00CC208E"/>
    <w:rsid w:val="00CC334E"/>
    <w:rsid w:val="00CC3AC9"/>
    <w:rsid w:val="00CC4B47"/>
    <w:rsid w:val="00CC742F"/>
    <w:rsid w:val="00CD17F5"/>
    <w:rsid w:val="00CD2427"/>
    <w:rsid w:val="00CD2668"/>
    <w:rsid w:val="00CD2A3A"/>
    <w:rsid w:val="00CD2A75"/>
    <w:rsid w:val="00CD2C7E"/>
    <w:rsid w:val="00CD4EEB"/>
    <w:rsid w:val="00CD66F6"/>
    <w:rsid w:val="00CE1EFD"/>
    <w:rsid w:val="00CE300C"/>
    <w:rsid w:val="00CE4FA3"/>
    <w:rsid w:val="00CE6632"/>
    <w:rsid w:val="00CE7C0B"/>
    <w:rsid w:val="00CF0869"/>
    <w:rsid w:val="00CF131A"/>
    <w:rsid w:val="00CF38F6"/>
    <w:rsid w:val="00CF3A7D"/>
    <w:rsid w:val="00CF46F8"/>
    <w:rsid w:val="00CF50AB"/>
    <w:rsid w:val="00D01C02"/>
    <w:rsid w:val="00D01E6A"/>
    <w:rsid w:val="00D02420"/>
    <w:rsid w:val="00D03DD5"/>
    <w:rsid w:val="00D04A58"/>
    <w:rsid w:val="00D05C69"/>
    <w:rsid w:val="00D06452"/>
    <w:rsid w:val="00D066AF"/>
    <w:rsid w:val="00D06A17"/>
    <w:rsid w:val="00D06F92"/>
    <w:rsid w:val="00D1066A"/>
    <w:rsid w:val="00D10A2E"/>
    <w:rsid w:val="00D10E9B"/>
    <w:rsid w:val="00D12503"/>
    <w:rsid w:val="00D12F9E"/>
    <w:rsid w:val="00D13690"/>
    <w:rsid w:val="00D162E5"/>
    <w:rsid w:val="00D1694D"/>
    <w:rsid w:val="00D22BE6"/>
    <w:rsid w:val="00D231EC"/>
    <w:rsid w:val="00D23A1A"/>
    <w:rsid w:val="00D30270"/>
    <w:rsid w:val="00D30E2E"/>
    <w:rsid w:val="00D31B60"/>
    <w:rsid w:val="00D33805"/>
    <w:rsid w:val="00D33AF9"/>
    <w:rsid w:val="00D34ED8"/>
    <w:rsid w:val="00D36CD4"/>
    <w:rsid w:val="00D36F7C"/>
    <w:rsid w:val="00D41635"/>
    <w:rsid w:val="00D448D1"/>
    <w:rsid w:val="00D467BD"/>
    <w:rsid w:val="00D46B88"/>
    <w:rsid w:val="00D50220"/>
    <w:rsid w:val="00D504D0"/>
    <w:rsid w:val="00D5183B"/>
    <w:rsid w:val="00D5188D"/>
    <w:rsid w:val="00D53B8F"/>
    <w:rsid w:val="00D548F4"/>
    <w:rsid w:val="00D569FC"/>
    <w:rsid w:val="00D60492"/>
    <w:rsid w:val="00D62DF6"/>
    <w:rsid w:val="00D655DE"/>
    <w:rsid w:val="00D661DB"/>
    <w:rsid w:val="00D66588"/>
    <w:rsid w:val="00D67E67"/>
    <w:rsid w:val="00D70C65"/>
    <w:rsid w:val="00D72619"/>
    <w:rsid w:val="00D75765"/>
    <w:rsid w:val="00D8379F"/>
    <w:rsid w:val="00D844C1"/>
    <w:rsid w:val="00D84B45"/>
    <w:rsid w:val="00D84FD2"/>
    <w:rsid w:val="00D86E6F"/>
    <w:rsid w:val="00D90600"/>
    <w:rsid w:val="00D9104A"/>
    <w:rsid w:val="00D94D4E"/>
    <w:rsid w:val="00D95124"/>
    <w:rsid w:val="00D951F4"/>
    <w:rsid w:val="00D95581"/>
    <w:rsid w:val="00D97024"/>
    <w:rsid w:val="00DA084C"/>
    <w:rsid w:val="00DA2F53"/>
    <w:rsid w:val="00DA4AF4"/>
    <w:rsid w:val="00DA5DD7"/>
    <w:rsid w:val="00DA762F"/>
    <w:rsid w:val="00DA795E"/>
    <w:rsid w:val="00DB187D"/>
    <w:rsid w:val="00DB248D"/>
    <w:rsid w:val="00DB282A"/>
    <w:rsid w:val="00DB40B2"/>
    <w:rsid w:val="00DB44E4"/>
    <w:rsid w:val="00DB4673"/>
    <w:rsid w:val="00DB6195"/>
    <w:rsid w:val="00DB7AD4"/>
    <w:rsid w:val="00DC0487"/>
    <w:rsid w:val="00DC2FAC"/>
    <w:rsid w:val="00DC457C"/>
    <w:rsid w:val="00DC519B"/>
    <w:rsid w:val="00DC64C0"/>
    <w:rsid w:val="00DC6A0A"/>
    <w:rsid w:val="00DC6AFF"/>
    <w:rsid w:val="00DD06BF"/>
    <w:rsid w:val="00DD0D2D"/>
    <w:rsid w:val="00DD23E0"/>
    <w:rsid w:val="00DD3777"/>
    <w:rsid w:val="00DD383C"/>
    <w:rsid w:val="00DD40F6"/>
    <w:rsid w:val="00DD4859"/>
    <w:rsid w:val="00DD6008"/>
    <w:rsid w:val="00DD7B4D"/>
    <w:rsid w:val="00DE0BCF"/>
    <w:rsid w:val="00DE5800"/>
    <w:rsid w:val="00DE7424"/>
    <w:rsid w:val="00DF044C"/>
    <w:rsid w:val="00DF3A6D"/>
    <w:rsid w:val="00E00198"/>
    <w:rsid w:val="00E012D0"/>
    <w:rsid w:val="00E050DB"/>
    <w:rsid w:val="00E07AE2"/>
    <w:rsid w:val="00E07EED"/>
    <w:rsid w:val="00E128C7"/>
    <w:rsid w:val="00E12B9C"/>
    <w:rsid w:val="00E151B0"/>
    <w:rsid w:val="00E16B9A"/>
    <w:rsid w:val="00E170E0"/>
    <w:rsid w:val="00E17976"/>
    <w:rsid w:val="00E23D26"/>
    <w:rsid w:val="00E25258"/>
    <w:rsid w:val="00E25B35"/>
    <w:rsid w:val="00E26C64"/>
    <w:rsid w:val="00E26DF8"/>
    <w:rsid w:val="00E308FE"/>
    <w:rsid w:val="00E3541B"/>
    <w:rsid w:val="00E35556"/>
    <w:rsid w:val="00E35D9B"/>
    <w:rsid w:val="00E370BA"/>
    <w:rsid w:val="00E372BB"/>
    <w:rsid w:val="00E37C8F"/>
    <w:rsid w:val="00E4242C"/>
    <w:rsid w:val="00E432FC"/>
    <w:rsid w:val="00E44A23"/>
    <w:rsid w:val="00E45753"/>
    <w:rsid w:val="00E461BC"/>
    <w:rsid w:val="00E46484"/>
    <w:rsid w:val="00E50158"/>
    <w:rsid w:val="00E50C3F"/>
    <w:rsid w:val="00E50E44"/>
    <w:rsid w:val="00E514DE"/>
    <w:rsid w:val="00E52133"/>
    <w:rsid w:val="00E52AA0"/>
    <w:rsid w:val="00E54CC8"/>
    <w:rsid w:val="00E56AA8"/>
    <w:rsid w:val="00E56FD4"/>
    <w:rsid w:val="00E5741E"/>
    <w:rsid w:val="00E578F7"/>
    <w:rsid w:val="00E5792D"/>
    <w:rsid w:val="00E579AB"/>
    <w:rsid w:val="00E631A2"/>
    <w:rsid w:val="00E6350A"/>
    <w:rsid w:val="00E66837"/>
    <w:rsid w:val="00E70EF1"/>
    <w:rsid w:val="00E711B6"/>
    <w:rsid w:val="00E722BB"/>
    <w:rsid w:val="00E72C1D"/>
    <w:rsid w:val="00E746E7"/>
    <w:rsid w:val="00E7505A"/>
    <w:rsid w:val="00E80B0F"/>
    <w:rsid w:val="00E815EE"/>
    <w:rsid w:val="00E84A4A"/>
    <w:rsid w:val="00E86157"/>
    <w:rsid w:val="00E90038"/>
    <w:rsid w:val="00E94B48"/>
    <w:rsid w:val="00E951A9"/>
    <w:rsid w:val="00E956DB"/>
    <w:rsid w:val="00E965A6"/>
    <w:rsid w:val="00E96B04"/>
    <w:rsid w:val="00E97198"/>
    <w:rsid w:val="00E97273"/>
    <w:rsid w:val="00E974F9"/>
    <w:rsid w:val="00E97AB4"/>
    <w:rsid w:val="00E97B4C"/>
    <w:rsid w:val="00EA1ECD"/>
    <w:rsid w:val="00EA2187"/>
    <w:rsid w:val="00EA794B"/>
    <w:rsid w:val="00EB0AE7"/>
    <w:rsid w:val="00EB3BBA"/>
    <w:rsid w:val="00EB5183"/>
    <w:rsid w:val="00EB6887"/>
    <w:rsid w:val="00EB7022"/>
    <w:rsid w:val="00EC1440"/>
    <w:rsid w:val="00EC2135"/>
    <w:rsid w:val="00EC2F4E"/>
    <w:rsid w:val="00EC3135"/>
    <w:rsid w:val="00EC36BF"/>
    <w:rsid w:val="00EC5218"/>
    <w:rsid w:val="00EC5441"/>
    <w:rsid w:val="00EC63F9"/>
    <w:rsid w:val="00EC6969"/>
    <w:rsid w:val="00EC6CE3"/>
    <w:rsid w:val="00ED0CAD"/>
    <w:rsid w:val="00ED1233"/>
    <w:rsid w:val="00ED17BD"/>
    <w:rsid w:val="00ED1CB2"/>
    <w:rsid w:val="00ED360C"/>
    <w:rsid w:val="00EE052B"/>
    <w:rsid w:val="00EE65A2"/>
    <w:rsid w:val="00EE6E0B"/>
    <w:rsid w:val="00EE7168"/>
    <w:rsid w:val="00EE79A6"/>
    <w:rsid w:val="00EE7A67"/>
    <w:rsid w:val="00EE7C10"/>
    <w:rsid w:val="00EF04AA"/>
    <w:rsid w:val="00EF0F7C"/>
    <w:rsid w:val="00EF1069"/>
    <w:rsid w:val="00EF24A1"/>
    <w:rsid w:val="00EF259B"/>
    <w:rsid w:val="00EF3C3D"/>
    <w:rsid w:val="00EF48D9"/>
    <w:rsid w:val="00EF5051"/>
    <w:rsid w:val="00EF58F8"/>
    <w:rsid w:val="00EF6A6D"/>
    <w:rsid w:val="00EF6E23"/>
    <w:rsid w:val="00EF7D80"/>
    <w:rsid w:val="00F00D46"/>
    <w:rsid w:val="00F02164"/>
    <w:rsid w:val="00F0450A"/>
    <w:rsid w:val="00F06584"/>
    <w:rsid w:val="00F1140F"/>
    <w:rsid w:val="00F11FBE"/>
    <w:rsid w:val="00F123CA"/>
    <w:rsid w:val="00F1390F"/>
    <w:rsid w:val="00F140C0"/>
    <w:rsid w:val="00F1414A"/>
    <w:rsid w:val="00F15F24"/>
    <w:rsid w:val="00F2207B"/>
    <w:rsid w:val="00F22196"/>
    <w:rsid w:val="00F249D4"/>
    <w:rsid w:val="00F27CE6"/>
    <w:rsid w:val="00F30AE1"/>
    <w:rsid w:val="00F34EDB"/>
    <w:rsid w:val="00F379B8"/>
    <w:rsid w:val="00F379BC"/>
    <w:rsid w:val="00F41CF6"/>
    <w:rsid w:val="00F41DC5"/>
    <w:rsid w:val="00F43D08"/>
    <w:rsid w:val="00F44FCA"/>
    <w:rsid w:val="00F45DC9"/>
    <w:rsid w:val="00F47287"/>
    <w:rsid w:val="00F51344"/>
    <w:rsid w:val="00F534AF"/>
    <w:rsid w:val="00F53B94"/>
    <w:rsid w:val="00F547EB"/>
    <w:rsid w:val="00F55044"/>
    <w:rsid w:val="00F5758B"/>
    <w:rsid w:val="00F602D8"/>
    <w:rsid w:val="00F60D7D"/>
    <w:rsid w:val="00F61B35"/>
    <w:rsid w:val="00F62941"/>
    <w:rsid w:val="00F63BBD"/>
    <w:rsid w:val="00F64C56"/>
    <w:rsid w:val="00F71062"/>
    <w:rsid w:val="00F723FF"/>
    <w:rsid w:val="00F73D70"/>
    <w:rsid w:val="00F75211"/>
    <w:rsid w:val="00F75B0A"/>
    <w:rsid w:val="00F76061"/>
    <w:rsid w:val="00F76C44"/>
    <w:rsid w:val="00F81AD3"/>
    <w:rsid w:val="00F830CA"/>
    <w:rsid w:val="00F84848"/>
    <w:rsid w:val="00F877F5"/>
    <w:rsid w:val="00F9010B"/>
    <w:rsid w:val="00F9195D"/>
    <w:rsid w:val="00F92115"/>
    <w:rsid w:val="00F971B1"/>
    <w:rsid w:val="00F9732D"/>
    <w:rsid w:val="00FA0D4A"/>
    <w:rsid w:val="00FA2127"/>
    <w:rsid w:val="00FA24C2"/>
    <w:rsid w:val="00FA2CAD"/>
    <w:rsid w:val="00FA3CC9"/>
    <w:rsid w:val="00FA5FB9"/>
    <w:rsid w:val="00FB02AD"/>
    <w:rsid w:val="00FB156F"/>
    <w:rsid w:val="00FB3731"/>
    <w:rsid w:val="00FB5770"/>
    <w:rsid w:val="00FB6D04"/>
    <w:rsid w:val="00FB7B28"/>
    <w:rsid w:val="00FB7C57"/>
    <w:rsid w:val="00FC0BBC"/>
    <w:rsid w:val="00FC0E61"/>
    <w:rsid w:val="00FC2DDF"/>
    <w:rsid w:val="00FC3B99"/>
    <w:rsid w:val="00FC6CE2"/>
    <w:rsid w:val="00FC7710"/>
    <w:rsid w:val="00FC7978"/>
    <w:rsid w:val="00FC7A53"/>
    <w:rsid w:val="00FD0D45"/>
    <w:rsid w:val="00FD0F3E"/>
    <w:rsid w:val="00FD3554"/>
    <w:rsid w:val="00FD3E3A"/>
    <w:rsid w:val="00FD431C"/>
    <w:rsid w:val="00FE11A2"/>
    <w:rsid w:val="00FE18D1"/>
    <w:rsid w:val="00FE2253"/>
    <w:rsid w:val="00FE2900"/>
    <w:rsid w:val="00FE53DE"/>
    <w:rsid w:val="00FE6BEA"/>
    <w:rsid w:val="00FE75FA"/>
    <w:rsid w:val="00FF058E"/>
    <w:rsid w:val="00FF4E3B"/>
    <w:rsid w:val="00FF526A"/>
    <w:rsid w:val="00FF5521"/>
    <w:rsid w:val="00FF578D"/>
    <w:rsid w:val="00FF59F1"/>
    <w:rsid w:val="00FF5AC6"/>
    <w:rsid w:val="00FF5D87"/>
    <w:rsid w:val="00FF7499"/>
    <w:rsid w:val="00FF7685"/>
    <w:rsid w:val="00FF7C49"/>
    <w:rsid w:val="4EDD708B"/>
    <w:rsid w:val="57A72271"/>
    <w:rsid w:val="57E7A52A"/>
    <w:rsid w:val="8FBFF249"/>
    <w:rsid w:val="CB7F4CB3"/>
    <w:rsid w:val="EAFF814E"/>
    <w:rsid w:val="EC3F317D"/>
    <w:rsid w:val="EFEBE418"/>
    <w:rsid w:val="FFDF4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2">
    <w:name w:val="heading 2"/>
    <w:basedOn w:val="1"/>
    <w:next w:val="1"/>
    <w:link w:val="2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3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3"/>
    <w:unhideWhenUsed/>
    <w:qFormat/>
    <w:uiPriority w:val="99"/>
    <w:pPr>
      <w:jc w:val="left"/>
    </w:pPr>
  </w:style>
  <w:style w:type="paragraph" w:styleId="12">
    <w:name w:val="Body Text"/>
    <w:basedOn w:val="1"/>
    <w:next w:val="1"/>
    <w:link w:val="48"/>
    <w:qFormat/>
    <w:uiPriority w:val="0"/>
    <w:rPr>
      <w:rFonts w:ascii="仿宋_GB2312" w:eastAsia="仿宋_GB2312"/>
      <w:sz w:val="30"/>
      <w:szCs w:val="32"/>
    </w:rPr>
  </w:style>
  <w:style w:type="paragraph" w:styleId="13">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4">
    <w:name w:val="footer"/>
    <w:basedOn w:val="1"/>
    <w:link w:val="47"/>
    <w:unhideWhenUsed/>
    <w:qFormat/>
    <w:uiPriority w:val="99"/>
    <w:pPr>
      <w:tabs>
        <w:tab w:val="center" w:pos="4153"/>
        <w:tab w:val="right" w:pos="8306"/>
      </w:tabs>
      <w:snapToGrid w:val="0"/>
    </w:pPr>
    <w:rPr>
      <w:sz w:val="18"/>
      <w:szCs w:val="18"/>
    </w:rPr>
  </w:style>
  <w:style w:type="paragraph" w:styleId="15">
    <w:name w:val="header"/>
    <w:basedOn w:val="1"/>
    <w:link w:val="46"/>
    <w:unhideWhenUsed/>
    <w:qFormat/>
    <w:uiPriority w:val="99"/>
    <w:pP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tabs>
        <w:tab w:val="right" w:leader="dot" w:pos="8296"/>
      </w:tabs>
      <w:spacing w:after="100" w:line="259" w:lineRule="auto"/>
      <w:jc w:val="left"/>
    </w:pPr>
    <w:rPr>
      <w:rFonts w:ascii="黑体" w:hAnsi="黑体" w:eastAsia="黑体" w:cs="黑体"/>
      <w:kern w:val="0"/>
      <w:sz w:val="32"/>
      <w:szCs w:val="32"/>
    </w:rPr>
  </w:style>
  <w:style w:type="paragraph" w:styleId="17">
    <w:name w:val="Subtitle"/>
    <w:basedOn w:val="1"/>
    <w:next w:val="1"/>
    <w:link w:val="3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footnote text"/>
    <w:basedOn w:val="1"/>
    <w:link w:val="51"/>
    <w:semiHidden/>
    <w:unhideWhenUsed/>
    <w:qFormat/>
    <w:uiPriority w:val="99"/>
    <w:pPr>
      <w:snapToGrid w:val="0"/>
      <w:jc w:val="left"/>
    </w:pPr>
    <w:rPr>
      <w:sz w:val="18"/>
      <w:szCs w:val="18"/>
    </w:rPr>
  </w:style>
  <w:style w:type="paragraph" w:styleId="19">
    <w:name w:val="toc 2"/>
    <w:basedOn w:val="1"/>
    <w:next w:val="1"/>
    <w:unhideWhenUsed/>
    <w:qFormat/>
    <w:uiPriority w:val="39"/>
    <w:pPr>
      <w:tabs>
        <w:tab w:val="right" w:leader="dot" w:pos="8296"/>
      </w:tabs>
      <w:spacing w:line="520" w:lineRule="exact"/>
      <w:ind w:left="420" w:leftChars="200"/>
    </w:pPr>
  </w:style>
  <w:style w:type="paragraph" w:styleId="20">
    <w:name w:val="Title"/>
    <w:basedOn w:val="1"/>
    <w:next w:val="1"/>
    <w:link w:val="37"/>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1">
    <w:name w:val="annotation subject"/>
    <w:basedOn w:val="11"/>
    <w:next w:val="11"/>
    <w:link w:val="54"/>
    <w:semiHidden/>
    <w:unhideWhenUsed/>
    <w:qFormat/>
    <w:uiPriority w:val="99"/>
    <w:rPr>
      <w:b/>
      <w:bCs/>
    </w:rPr>
  </w:style>
  <w:style w:type="table" w:styleId="23">
    <w:name w:val="Table Grid"/>
    <w:basedOn w:val="2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467886"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character" w:styleId="27">
    <w:name w:val="footnote reference"/>
    <w:basedOn w:val="24"/>
    <w:semiHidden/>
    <w:unhideWhenUsed/>
    <w:qFormat/>
    <w:uiPriority w:val="99"/>
    <w:rPr>
      <w:vertAlign w:val="superscript"/>
    </w:rPr>
  </w:style>
  <w:style w:type="character" w:customStyle="1" w:styleId="28">
    <w:name w:val="标题 1 字符"/>
    <w:basedOn w:val="24"/>
    <w:link w:val="3"/>
    <w:qFormat/>
    <w:uiPriority w:val="9"/>
    <w:rPr>
      <w:rFonts w:asciiTheme="majorHAnsi" w:hAnsiTheme="majorHAnsi" w:eastAsiaTheme="majorEastAsia" w:cstheme="majorBidi"/>
      <w:color w:val="104862" w:themeColor="accent1" w:themeShade="BF"/>
      <w:sz w:val="48"/>
      <w:szCs w:val="48"/>
    </w:rPr>
  </w:style>
  <w:style w:type="character" w:customStyle="1" w:styleId="29">
    <w:name w:val="标题 2 字符"/>
    <w:basedOn w:val="24"/>
    <w:link w:val="2"/>
    <w:semiHidden/>
    <w:qFormat/>
    <w:uiPriority w:val="9"/>
    <w:rPr>
      <w:rFonts w:asciiTheme="majorHAnsi" w:hAnsiTheme="majorHAnsi" w:eastAsiaTheme="majorEastAsia" w:cstheme="majorBidi"/>
      <w:color w:val="104862" w:themeColor="accent1" w:themeShade="BF"/>
      <w:sz w:val="40"/>
      <w:szCs w:val="40"/>
    </w:rPr>
  </w:style>
  <w:style w:type="character" w:customStyle="1" w:styleId="30">
    <w:name w:val="标题 3 字符"/>
    <w:basedOn w:val="2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1">
    <w:name w:val="标题 4 字符"/>
    <w:basedOn w:val="24"/>
    <w:link w:val="5"/>
    <w:semiHidden/>
    <w:qFormat/>
    <w:uiPriority w:val="9"/>
    <w:rPr>
      <w:rFonts w:cstheme="majorBidi"/>
      <w:color w:val="104862" w:themeColor="accent1" w:themeShade="BF"/>
      <w:sz w:val="28"/>
      <w:szCs w:val="28"/>
    </w:rPr>
  </w:style>
  <w:style w:type="character" w:customStyle="1" w:styleId="32">
    <w:name w:val="标题 5 字符"/>
    <w:basedOn w:val="24"/>
    <w:link w:val="6"/>
    <w:semiHidden/>
    <w:qFormat/>
    <w:uiPriority w:val="9"/>
    <w:rPr>
      <w:rFonts w:cstheme="majorBidi"/>
      <w:color w:val="104862" w:themeColor="accent1" w:themeShade="BF"/>
      <w:sz w:val="24"/>
    </w:rPr>
  </w:style>
  <w:style w:type="character" w:customStyle="1" w:styleId="33">
    <w:name w:val="标题 6 字符"/>
    <w:basedOn w:val="24"/>
    <w:link w:val="7"/>
    <w:semiHidden/>
    <w:qFormat/>
    <w:uiPriority w:val="9"/>
    <w:rPr>
      <w:rFonts w:cstheme="majorBidi"/>
      <w:b/>
      <w:bCs/>
      <w:color w:val="104862" w:themeColor="accent1" w:themeShade="BF"/>
    </w:rPr>
  </w:style>
  <w:style w:type="character" w:customStyle="1" w:styleId="34">
    <w:name w:val="标题 7 字符"/>
    <w:basedOn w:val="2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5">
    <w:name w:val="标题 8 字符"/>
    <w:basedOn w:val="2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6">
    <w:name w:val="标题 9 字符"/>
    <w:basedOn w:val="2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7">
    <w:name w:val="标题 字符"/>
    <w:basedOn w:val="24"/>
    <w:link w:val="20"/>
    <w:qFormat/>
    <w:uiPriority w:val="10"/>
    <w:rPr>
      <w:rFonts w:asciiTheme="majorHAnsi" w:hAnsiTheme="majorHAnsi" w:eastAsiaTheme="majorEastAsia" w:cstheme="majorBidi"/>
      <w:spacing w:val="-10"/>
      <w:kern w:val="28"/>
      <w:sz w:val="56"/>
      <w:szCs w:val="56"/>
    </w:rPr>
  </w:style>
  <w:style w:type="character" w:customStyle="1" w:styleId="38">
    <w:name w:val="副标题 字符"/>
    <w:basedOn w:val="24"/>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9">
    <w:name w:val="Quote"/>
    <w:basedOn w:val="1"/>
    <w:next w:val="1"/>
    <w:link w:val="4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引用 字符"/>
    <w:basedOn w:val="24"/>
    <w:link w:val="39"/>
    <w:qFormat/>
    <w:uiPriority w:val="29"/>
    <w:rPr>
      <w:i/>
      <w:iCs/>
      <w:color w:val="404040" w:themeColor="text1" w:themeTint="BF"/>
      <w14:textFill>
        <w14:solidFill>
          <w14:schemeClr w14:val="tx1">
            <w14:lumMod w14:val="75000"/>
            <w14:lumOff w14:val="25000"/>
          </w14:schemeClr>
        </w14:solidFill>
      </w14:textFill>
    </w:rPr>
  </w:style>
  <w:style w:type="paragraph" w:styleId="41">
    <w:name w:val="List Paragraph"/>
    <w:basedOn w:val="1"/>
    <w:qFormat/>
    <w:uiPriority w:val="99"/>
    <w:pPr>
      <w:ind w:left="720"/>
      <w:contextualSpacing/>
    </w:pPr>
  </w:style>
  <w:style w:type="character" w:customStyle="1" w:styleId="42">
    <w:name w:val="明显强调1"/>
    <w:basedOn w:val="24"/>
    <w:qFormat/>
    <w:uiPriority w:val="21"/>
    <w:rPr>
      <w:i/>
      <w:iCs/>
      <w:color w:val="104862" w:themeColor="accent1" w:themeShade="BF"/>
    </w:rPr>
  </w:style>
  <w:style w:type="paragraph" w:styleId="43">
    <w:name w:val="Intense Quote"/>
    <w:basedOn w:val="1"/>
    <w:next w:val="1"/>
    <w:link w:val="4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4">
    <w:name w:val="明显引用 字符"/>
    <w:basedOn w:val="24"/>
    <w:link w:val="43"/>
    <w:qFormat/>
    <w:uiPriority w:val="30"/>
    <w:rPr>
      <w:i/>
      <w:iCs/>
      <w:color w:val="104862" w:themeColor="accent1" w:themeShade="BF"/>
    </w:rPr>
  </w:style>
  <w:style w:type="character" w:customStyle="1" w:styleId="45">
    <w:name w:val="明显参考1"/>
    <w:basedOn w:val="24"/>
    <w:qFormat/>
    <w:uiPriority w:val="32"/>
    <w:rPr>
      <w:b/>
      <w:bCs/>
      <w:smallCaps/>
      <w:color w:val="104862" w:themeColor="accent1" w:themeShade="BF"/>
      <w:spacing w:val="5"/>
    </w:rPr>
  </w:style>
  <w:style w:type="character" w:customStyle="1" w:styleId="46">
    <w:name w:val="页眉 字符"/>
    <w:basedOn w:val="24"/>
    <w:link w:val="15"/>
    <w:qFormat/>
    <w:uiPriority w:val="99"/>
    <w:rPr>
      <w:sz w:val="18"/>
      <w:szCs w:val="18"/>
    </w:rPr>
  </w:style>
  <w:style w:type="character" w:customStyle="1" w:styleId="47">
    <w:name w:val="页脚 字符"/>
    <w:basedOn w:val="24"/>
    <w:link w:val="14"/>
    <w:qFormat/>
    <w:uiPriority w:val="99"/>
    <w:rPr>
      <w:sz w:val="18"/>
      <w:szCs w:val="18"/>
    </w:rPr>
  </w:style>
  <w:style w:type="character" w:customStyle="1" w:styleId="48">
    <w:name w:val="正文文本 字符"/>
    <w:basedOn w:val="24"/>
    <w:link w:val="12"/>
    <w:qFormat/>
    <w:uiPriority w:val="0"/>
    <w:rPr>
      <w:rFonts w:ascii="仿宋_GB2312" w:hAnsi="Calibri" w:eastAsia="仿宋_GB2312" w:cs="Times New Roman"/>
      <w:sz w:val="30"/>
      <w:szCs w:val="32"/>
      <w14:ligatures w14:val="none"/>
    </w:rPr>
  </w:style>
  <w:style w:type="paragraph" w:customStyle="1" w:styleId="49">
    <w:name w:val="TOC 标题1"/>
    <w:basedOn w:val="3"/>
    <w:next w:val="1"/>
    <w:unhideWhenUsed/>
    <w:qFormat/>
    <w:uiPriority w:val="39"/>
    <w:pPr>
      <w:widowControl/>
      <w:spacing w:before="240" w:after="0" w:line="259" w:lineRule="auto"/>
      <w:outlineLvl w:val="9"/>
    </w:pPr>
    <w:rPr>
      <w:kern w:val="0"/>
      <w:sz w:val="32"/>
      <w:szCs w:val="32"/>
    </w:rPr>
  </w:style>
  <w:style w:type="table" w:customStyle="1" w:styleId="50">
    <w:name w:val="网格表 4 - 着色 51"/>
    <w:basedOn w:val="22"/>
    <w:qFormat/>
    <w:uiPriority w:val="49"/>
    <w:rPr>
      <w:rFonts w:ascii="Times New Roman" w:hAnsi="Times New Roman" w:eastAsia="宋体" w:cs="Times New Roman"/>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l2br w:val="nil"/>
          <w:tr2bl w:val="nil"/>
        </w:tcBorders>
        <w:shd w:val="clear" w:color="auto" w:fill="4472C4"/>
      </w:tcPr>
    </w:tblStylePr>
    <w:tblStylePr w:type="lastRow">
      <w:rPr>
        <w:b/>
        <w:bCs/>
      </w:rPr>
      <w:tcPr>
        <w:tcBorders>
          <w:top w:val="double" w:color="4472C4"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51">
    <w:name w:val="脚注文本 字符"/>
    <w:basedOn w:val="24"/>
    <w:link w:val="18"/>
    <w:semiHidden/>
    <w:qFormat/>
    <w:uiPriority w:val="99"/>
    <w:rPr>
      <w:rFonts w:ascii="Calibri" w:hAnsi="Calibri" w:eastAsia="宋体" w:cs="Times New Roman"/>
      <w:sz w:val="18"/>
      <w:szCs w:val="18"/>
      <w14:ligatures w14:val="none"/>
    </w:rPr>
  </w:style>
  <w:style w:type="paragraph" w:customStyle="1" w:styleId="52">
    <w:name w:val="修订1"/>
    <w:hidden/>
    <w:semiHidden/>
    <w:qFormat/>
    <w:uiPriority w:val="99"/>
    <w:rPr>
      <w:rFonts w:ascii="Calibri" w:hAnsi="Calibri" w:eastAsia="宋体" w:cs="Times New Roman"/>
      <w:kern w:val="2"/>
      <w:sz w:val="21"/>
      <w:szCs w:val="24"/>
      <w:lang w:val="en-US" w:eastAsia="zh-CN" w:bidi="ar-SA"/>
    </w:rPr>
  </w:style>
  <w:style w:type="character" w:customStyle="1" w:styleId="53">
    <w:name w:val="批注文字 字符"/>
    <w:basedOn w:val="24"/>
    <w:link w:val="11"/>
    <w:qFormat/>
    <w:uiPriority w:val="99"/>
    <w:rPr>
      <w:rFonts w:ascii="Calibri" w:hAnsi="Calibri" w:eastAsia="宋体" w:cs="Times New Roman"/>
      <w:sz w:val="21"/>
      <w14:ligatures w14:val="none"/>
    </w:rPr>
  </w:style>
  <w:style w:type="character" w:customStyle="1" w:styleId="54">
    <w:name w:val="批注主题 字符"/>
    <w:basedOn w:val="53"/>
    <w:link w:val="21"/>
    <w:semiHidden/>
    <w:qFormat/>
    <w:uiPriority w:val="99"/>
    <w:rPr>
      <w:rFonts w:ascii="Calibri" w:hAnsi="Calibri" w:eastAsia="宋体" w:cs="Times New Roman"/>
      <w:b/>
      <w:bCs/>
      <w:sz w:val="21"/>
      <w14:ligatures w14:val="none"/>
    </w:rPr>
  </w:style>
  <w:style w:type="paragraph" w:customStyle="1" w:styleId="55">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2767</Words>
  <Characters>15772</Characters>
  <Lines>131</Lines>
  <Paragraphs>37</Paragraphs>
  <TotalTime>12</TotalTime>
  <ScaleCrop>false</ScaleCrop>
  <LinksUpToDate>false</LinksUpToDate>
  <CharactersWithSpaces>18502</CharactersWithSpaces>
  <Application>WPS Office_11.8.2.1115_F1E327BC-269C-435d-A152-05C5408002CA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2024-06-23T00:32:00Z</dcterms:created>
  <dc:creator>nenghuan zhang</dc:creator>
  <cp:lastModifiedBy>kylin</cp:lastModifiedBy>
  <cp:lastPrinted>2024-09-14T17:26:00Z</cp:lastPrinted>
  <dcterms:modified xsi:type="dcterms:W3CDTF">2024-11-27T19:21:17Z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2052-11.8.2.1115</vt:lpwstr>
  </property>
  <property fmtid="{D5CDD505-2E9C-101B-9397-08002B2CF9AE}" pid="3" name="ICV">
    <vt:lpwstr>EC35C88C24410AFDAD004767E3F2D8C7</vt:lpwstr>
  </property>
</Properties>
</file>