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25" w:rsidRDefault="00223E25" w:rsidP="00223E25">
      <w:pPr>
        <w:jc w:val="center"/>
        <w:rPr>
          <w:rFonts w:ascii="Times New Roman" w:eastAsia="方正小标宋_GBK" w:hAnsi="Times New Roman" w:cs="Times New Roman" w:hint="eastAsia"/>
          <w:sz w:val="36"/>
          <w:szCs w:val="36"/>
        </w:rPr>
      </w:pPr>
    </w:p>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25"/>
        <w:gridCol w:w="151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2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51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174008">
        <w:trPr>
          <w:trHeight w:val="91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25" w:type="dxa"/>
            <w:vMerge/>
            <w:vAlign w:val="center"/>
          </w:tcPr>
          <w:p w:rsidR="00223E25" w:rsidRDefault="00223E25" w:rsidP="00174008">
            <w:pPr>
              <w:autoSpaceDN w:val="0"/>
              <w:rPr>
                <w:rFonts w:ascii="Times New Roman" w:hAnsi="Times New Roman" w:cs="Times New Roman"/>
              </w:rPr>
            </w:pPr>
          </w:p>
        </w:tc>
        <w:tc>
          <w:tcPr>
            <w:tcW w:w="151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2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云南广播电视台</w:t>
            </w:r>
          </w:p>
        </w:tc>
        <w:tc>
          <w:tcPr>
            <w:tcW w:w="151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12530000061570517F</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看播出的境外影视剧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lang w:val="zh-CN"/>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云南广播电视台影视频道在本此抽查中存在播出境外电影时无片头片尾字幕，未标明引进发行许可编号信息等不规范播出行为。</w:t>
            </w:r>
          </w:p>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lang w:val="zh-CN"/>
              </w:rPr>
            </w:pPr>
            <w:r>
              <w:rPr>
                <w:rFonts w:ascii="方正仿宋_GBK" w:eastAsia="方正仿宋_GBK" w:hAnsi="方正仿宋_GBK" w:cs="方正仿宋_GBK" w:hint="eastAsia"/>
                <w:b/>
                <w:bCs/>
                <w:color w:val="000000"/>
                <w:sz w:val="24"/>
                <w:lang w:val="zh-CN"/>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color w:val="000000"/>
                <w:sz w:val="24"/>
                <w:shd w:val="clear" w:color="auto" w:fill="FFFFFF"/>
              </w:rPr>
              <w:t>是</w:t>
            </w:r>
            <w:r>
              <w:rPr>
                <w:rFonts w:ascii="方正仿宋_GBK" w:eastAsia="方正仿宋_GBK" w:hAnsi="方正仿宋_GBK" w:cs="方正仿宋_GBK" w:hint="eastAsia"/>
                <w:color w:val="000000"/>
                <w:sz w:val="24"/>
                <w:shd w:val="clear" w:color="auto" w:fill="FFFFFF"/>
              </w:rPr>
              <w:t>认真开展自查</w:t>
            </w:r>
            <w:r>
              <w:rPr>
                <w:rFonts w:ascii="方正仿宋_GBK" w:eastAsia="方正仿宋_GBK" w:hAnsi="方正仿宋_GBK" w:cs="方正仿宋_GBK"/>
                <w:color w:val="000000"/>
                <w:sz w:val="24"/>
                <w:shd w:val="clear" w:color="auto" w:fill="FFFFFF"/>
              </w:rPr>
              <w:t>。</w:t>
            </w:r>
            <w:r>
              <w:rPr>
                <w:rFonts w:ascii="方正仿宋_GBK" w:eastAsia="方正仿宋_GBK" w:hAnsi="方正仿宋_GBK" w:cs="方正仿宋_GBK" w:hint="eastAsia"/>
                <w:color w:val="000000"/>
                <w:sz w:val="24"/>
                <w:shd w:val="clear" w:color="auto" w:fill="FFFFFF"/>
              </w:rPr>
              <w:t>对播出</w:t>
            </w:r>
            <w:r>
              <w:rPr>
                <w:rFonts w:ascii="方正仿宋_GBK" w:eastAsia="方正仿宋_GBK" w:hAnsi="方正仿宋_GBK" w:cs="方正仿宋_GBK"/>
                <w:color w:val="000000"/>
                <w:sz w:val="24"/>
                <w:shd w:val="clear" w:color="auto" w:fill="FFFFFF"/>
              </w:rPr>
              <w:t>境外</w:t>
            </w:r>
            <w:r>
              <w:rPr>
                <w:rFonts w:ascii="方正仿宋_GBK" w:eastAsia="方正仿宋_GBK" w:hAnsi="方正仿宋_GBK" w:cs="方正仿宋_GBK" w:hint="eastAsia"/>
                <w:color w:val="000000"/>
                <w:sz w:val="24"/>
                <w:shd w:val="clear" w:color="auto" w:fill="FFFFFF"/>
                <w:lang w:val="zh-CN"/>
              </w:rPr>
              <w:t>影视剧</w:t>
            </w:r>
            <w:r>
              <w:rPr>
                <w:rFonts w:ascii="方正仿宋_GBK" w:eastAsia="方正仿宋_GBK" w:hAnsi="方正仿宋_GBK" w:cs="方正仿宋_GBK" w:hint="eastAsia"/>
                <w:color w:val="000000"/>
                <w:sz w:val="24"/>
                <w:shd w:val="clear" w:color="auto" w:fill="FFFFFF"/>
              </w:rPr>
              <w:t>情况进行全面排查清理，发现以上问题及时停止播出，立即进行整改，并</w:t>
            </w:r>
            <w:r>
              <w:rPr>
                <w:rFonts w:ascii="方正仿宋_GBK" w:eastAsia="方正仿宋_GBK" w:hAnsi="方正仿宋_GBK" w:cs="方正仿宋_GBK"/>
                <w:color w:val="000000"/>
                <w:sz w:val="24"/>
                <w:shd w:val="clear" w:color="auto" w:fill="FFFFFF"/>
              </w:rPr>
              <w:t>将整改情况形成书面报告</w:t>
            </w:r>
            <w:r>
              <w:rPr>
                <w:rFonts w:ascii="方正仿宋_GBK" w:eastAsia="方正仿宋_GBK" w:hAnsi="方正仿宋_GBK" w:cs="方正仿宋_GBK" w:hint="eastAsia"/>
                <w:color w:val="000000"/>
                <w:sz w:val="24"/>
                <w:shd w:val="clear" w:color="auto" w:fill="FFFFFF"/>
              </w:rPr>
              <w:t>报省局</w:t>
            </w:r>
            <w:r>
              <w:rPr>
                <w:rFonts w:ascii="方正仿宋_GBK" w:eastAsia="方正仿宋_GBK" w:hAnsi="方正仿宋_GBK" w:cs="方正仿宋_GBK"/>
                <w:color w:val="000000"/>
                <w:sz w:val="24"/>
                <w:shd w:val="clear" w:color="auto" w:fill="FFFFFF"/>
              </w:rPr>
              <w:t>。</w:t>
            </w:r>
            <w:r>
              <w:rPr>
                <w:rFonts w:ascii="方正仿宋_GBK" w:eastAsia="方正仿宋_GBK" w:hAnsi="方正仿宋_GBK" w:cs="方正仿宋_GBK" w:hint="eastAsia"/>
                <w:color w:val="000000"/>
                <w:sz w:val="24"/>
                <w:shd w:val="clear" w:color="auto" w:fill="FFFFFF"/>
              </w:rPr>
              <w:t>二</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color w:val="000000"/>
                <w:sz w:val="24"/>
                <w:shd w:val="clear" w:color="auto" w:fill="FFFFFF"/>
              </w:rPr>
              <w:t>。</w:t>
            </w:r>
            <w:r>
              <w:rPr>
                <w:rFonts w:ascii="方正仿宋_GBK" w:eastAsia="方正仿宋_GBK" w:hAnsi="方正仿宋_GBK" w:cs="方正仿宋_GBK" w:hint="eastAsia"/>
                <w:color w:val="000000"/>
                <w:sz w:val="24"/>
                <w:shd w:val="clear" w:color="auto" w:fill="FFFFFF"/>
              </w:rPr>
              <w:t>要</w:t>
            </w:r>
            <w:r>
              <w:rPr>
                <w:rFonts w:ascii="方正仿宋_GBK" w:eastAsia="方正仿宋_GBK" w:hAnsi="方正仿宋_GBK" w:cs="方正仿宋_GBK"/>
                <w:color w:val="000000"/>
                <w:sz w:val="24"/>
                <w:shd w:val="clear" w:color="auto" w:fill="FFFFFF"/>
                <w:lang w:val="zh-CN"/>
              </w:rPr>
              <w:t>站在讲政治的高度，</w:t>
            </w:r>
            <w:r>
              <w:rPr>
                <w:rFonts w:ascii="方正仿宋_GBK" w:eastAsia="方正仿宋_GBK" w:hAnsi="方正仿宋_GBK" w:cs="方正仿宋_GBK" w:hint="eastAsia"/>
                <w:color w:val="000000"/>
                <w:sz w:val="24"/>
                <w:shd w:val="clear" w:color="auto" w:fill="FFFFFF"/>
              </w:rPr>
              <w:t>进一步规范</w:t>
            </w:r>
            <w:r>
              <w:rPr>
                <w:rFonts w:ascii="方正仿宋_GBK" w:eastAsia="方正仿宋_GBK" w:hAnsi="方正仿宋_GBK" w:cs="方正仿宋_GBK"/>
                <w:color w:val="000000"/>
                <w:sz w:val="24"/>
                <w:shd w:val="clear" w:color="auto" w:fill="FFFFFF"/>
              </w:rPr>
              <w:t>境外</w:t>
            </w:r>
            <w:r>
              <w:rPr>
                <w:rFonts w:ascii="方正仿宋_GBK" w:eastAsia="方正仿宋_GBK" w:hAnsi="方正仿宋_GBK" w:cs="方正仿宋_GBK" w:hint="eastAsia"/>
                <w:color w:val="000000"/>
                <w:sz w:val="24"/>
                <w:shd w:val="clear" w:color="auto" w:fill="FFFFFF"/>
                <w:lang w:val="zh-CN"/>
              </w:rPr>
              <w:t>影视剧</w:t>
            </w:r>
            <w:r>
              <w:rPr>
                <w:rFonts w:ascii="方正仿宋_GBK" w:eastAsia="方正仿宋_GBK" w:hAnsi="方正仿宋_GBK" w:cs="方正仿宋_GBK" w:hint="eastAsia"/>
                <w:color w:val="000000"/>
                <w:sz w:val="24"/>
                <w:shd w:val="clear" w:color="auto" w:fill="FFFFFF"/>
              </w:rPr>
              <w:t>播出管理工作，坚决杜绝违规情况发生</w:t>
            </w:r>
            <w:r>
              <w:rPr>
                <w:rFonts w:ascii="方正仿宋_GBK" w:eastAsia="方正仿宋_GBK" w:hAnsi="方正仿宋_GBK" w:cs="方正仿宋_GBK"/>
                <w:color w:val="000000"/>
                <w:sz w:val="24"/>
                <w:shd w:val="clear" w:color="auto" w:fill="FFFFFF"/>
              </w:rPr>
              <w:t>。</w:t>
            </w:r>
            <w:r>
              <w:rPr>
                <w:rFonts w:ascii="方正仿宋_GBK" w:eastAsia="方正仿宋_GBK" w:hAnsi="方正仿宋_GBK" w:cs="方正仿宋_GBK"/>
                <w:color w:val="000000"/>
                <w:sz w:val="24"/>
                <w:shd w:val="clear" w:color="auto" w:fill="FFFFFF"/>
                <w:lang w:val="zh-CN"/>
              </w:rPr>
              <w:t>三</w:t>
            </w:r>
            <w:r>
              <w:rPr>
                <w:rFonts w:ascii="方正仿宋_GBK" w:eastAsia="方正仿宋_GBK" w:hAnsi="方正仿宋_GBK" w:cs="方正仿宋_GBK" w:hint="eastAsia"/>
                <w:color w:val="000000"/>
                <w:sz w:val="24"/>
                <w:shd w:val="clear" w:color="auto" w:fill="FFFFFF"/>
              </w:rPr>
              <w:t>是严格落实相关规定</w:t>
            </w:r>
            <w:r>
              <w:rPr>
                <w:rFonts w:ascii="方正仿宋_GBK" w:eastAsia="方正仿宋_GBK" w:hAnsi="方正仿宋_GBK" w:cs="方正仿宋_GBK"/>
                <w:color w:val="000000"/>
                <w:sz w:val="24"/>
                <w:shd w:val="clear" w:color="auto" w:fill="FFFFFF"/>
                <w:lang w:val="zh-CN"/>
              </w:rPr>
              <w:t>。严格落实《广播电视管理条例》</w:t>
            </w:r>
            <w:r>
              <w:rPr>
                <w:rFonts w:ascii="方正仿宋_GBK" w:eastAsia="方正仿宋_GBK" w:hAnsi="方正仿宋_GBK" w:cs="方正仿宋_GBK" w:hint="eastAsia"/>
                <w:color w:val="000000"/>
                <w:sz w:val="24"/>
                <w:shd w:val="clear" w:color="auto" w:fill="FFFFFF"/>
                <w:lang w:val="zh-CN"/>
              </w:rPr>
              <w:t>国务院令第228号）</w:t>
            </w:r>
            <w:r>
              <w:rPr>
                <w:rFonts w:ascii="方正仿宋_GBK" w:eastAsia="方正仿宋_GBK" w:hAnsi="方正仿宋_GBK" w:cs="方正仿宋_GBK"/>
                <w:color w:val="000000"/>
                <w:sz w:val="24"/>
                <w:shd w:val="clear" w:color="auto" w:fill="FFFFFF"/>
                <w:lang w:val="zh-CN"/>
              </w:rPr>
              <w:t>、《境外电视节目引进、播出管理规定》（广电总局令第42号）</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spacing w:line="340" w:lineRule="exact"/>
              <w:jc w:val="left"/>
            </w:pPr>
            <w:r>
              <w:rPr>
                <w:rFonts w:ascii="方正仿宋_GBK" w:eastAsia="方正仿宋_GBK" w:hAnsi="方正仿宋_GBK" w:cs="方正仿宋_GBK" w:hint="eastAsia"/>
                <w:b/>
                <w:bCs/>
                <w:color w:val="000000"/>
                <w:sz w:val="24"/>
              </w:rPr>
              <w:lastRenderedPageBreak/>
              <w:t>整改情况：</w:t>
            </w:r>
            <w:r>
              <w:rPr>
                <w:rFonts w:ascii="方正仿宋_GBK" w:eastAsia="方正仿宋_GBK" w:hAnsi="方正仿宋_GBK" w:cs="方正仿宋_GBK" w:hint="eastAsia"/>
                <w:color w:val="000000"/>
                <w:sz w:val="24"/>
                <w:shd w:val="clear" w:color="auto" w:fill="FFFFFF"/>
              </w:rPr>
              <w:t>云南广播电视台对检查通报情况高度重视，对通报内容及时进行了传达学习和核查，对存在问题及做好下步播出工作制定了具体的整改措施。一是除了影视频道外的其他频道对规范播出境外引进剧认真开展了自查；二是对存在的问题立即进行了整改；三是对电影栏目的编排计划进行自查，确保境外引进剧播出符合总局相关文件要求；四是加强学习培训，提高政治站位和阵地意识、法规意识；五是修订了2021年节目编排调整方案，切实解决现行节目编排表中存在的技术性问题；六是对现有的节目版权资源库进行再次检查核对，完善节目版权信息；七是影视频道于2021年元旦起对现行节目编排时间进行调整，从时段编排上解决目前国产及合拍电影版权资源量难以完全满足播出需求的问题，确保播出符合总局相关规定。</w:t>
            </w:r>
          </w:p>
        </w:tc>
      </w:tr>
    </w:tbl>
    <w:p w:rsidR="00223E25" w:rsidRDefault="00223E25" w:rsidP="00223E25">
      <w:pPr>
        <w:jc w:val="center"/>
        <w:rPr>
          <w:rFonts w:ascii="Times New Roman" w:eastAsia="方正小标宋_GBK" w:hAnsi="Times New Roman" w:cs="Times New Roman" w:hint="eastAsia"/>
          <w:sz w:val="36"/>
          <w:szCs w:val="36"/>
        </w:rPr>
      </w:pPr>
    </w:p>
    <w:p w:rsidR="00223E25" w:rsidRDefault="00223E25" w:rsidP="00223E25">
      <w:pPr>
        <w:rPr>
          <w:rFonts w:ascii="Times New Roman" w:eastAsia="方正小标宋_GBK" w:hAnsi="Times New Roman" w:cs="Times New Roman"/>
          <w:sz w:val="36"/>
          <w:szCs w:val="36"/>
        </w:rPr>
      </w:pPr>
    </w:p>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174008">
        <w:trPr>
          <w:trHeight w:val="91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55" w:type="dxa"/>
            <w:vMerge/>
            <w:vAlign w:val="center"/>
          </w:tcPr>
          <w:p w:rsidR="00223E25" w:rsidRDefault="00223E25" w:rsidP="00174008">
            <w:pPr>
              <w:autoSpaceDN w:val="0"/>
              <w:rPr>
                <w:rFonts w:ascii="Times New Roman" w:hAnsi="Times New Roman" w:cs="Times New Roman"/>
              </w:rPr>
            </w:pPr>
          </w:p>
        </w:tc>
        <w:tc>
          <w:tcPr>
            <w:tcW w:w="148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昆明市广播电视台</w:t>
            </w:r>
          </w:p>
        </w:tc>
        <w:tc>
          <w:tcPr>
            <w:tcW w:w="148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12530100568834905X</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hint="eastAsia"/>
                <w:color w:val="000000"/>
                <w:sz w:val="24"/>
                <w:shd w:val="clear" w:color="auto" w:fill="FFFFFF"/>
                <w:lang w:val="zh-CN"/>
              </w:rPr>
              <w:t>，始终把社会效益放在首位</w:t>
            </w:r>
            <w:r>
              <w:rPr>
                <w:rFonts w:ascii="方正仿宋_GBK" w:eastAsia="方正仿宋_GBK" w:hAnsi="方正仿宋_GBK" w:cs="方正仿宋_GBK" w:hint="eastAsia"/>
                <w:color w:val="000000"/>
                <w:sz w:val="24"/>
                <w:shd w:val="clear" w:color="auto" w:fill="FFFFFF"/>
              </w:rPr>
              <w:t>；二是</w:t>
            </w:r>
            <w:r>
              <w:rPr>
                <w:rFonts w:ascii="方正仿宋_GBK" w:eastAsia="方正仿宋_GBK" w:hAnsi="方正仿宋_GBK" w:cs="方正仿宋_GBK"/>
                <w:color w:val="000000"/>
                <w:sz w:val="24"/>
                <w:shd w:val="clear" w:color="auto" w:fill="FFFFFF"/>
                <w:lang w:val="zh-CN"/>
              </w:rPr>
              <w:t>加强</w:t>
            </w:r>
            <w:r>
              <w:rPr>
                <w:rFonts w:ascii="方正仿宋_GBK" w:eastAsia="方正仿宋_GBK" w:hAnsi="方正仿宋_GBK" w:cs="方正仿宋_GBK" w:hint="eastAsia"/>
                <w:color w:val="000000"/>
                <w:sz w:val="24"/>
                <w:shd w:val="clear" w:color="auto" w:fill="FFFFFF"/>
                <w:lang w:val="zh-CN"/>
              </w:rPr>
              <w:t>播出</w:t>
            </w:r>
            <w:r>
              <w:rPr>
                <w:rFonts w:ascii="方正仿宋_GBK" w:eastAsia="方正仿宋_GBK" w:hAnsi="方正仿宋_GBK" w:cs="方正仿宋_GBK"/>
                <w:color w:val="000000"/>
                <w:sz w:val="24"/>
                <w:shd w:val="clear" w:color="auto" w:fill="FFFFFF"/>
                <w:lang w:val="zh-CN"/>
              </w:rPr>
              <w:t>管理</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color w:val="000000"/>
                <w:sz w:val="24"/>
                <w:shd w:val="clear" w:color="auto" w:fill="FFFFFF"/>
                <w:lang w:val="zh-CN"/>
              </w:rPr>
              <w:t>杜绝违规现象发生</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三是</w:t>
            </w:r>
            <w:r>
              <w:rPr>
                <w:rFonts w:ascii="方正仿宋_GBK" w:eastAsia="方正仿宋_GBK" w:hAnsi="方正仿宋_GBK" w:cs="方正仿宋_GBK"/>
                <w:color w:val="000000"/>
                <w:sz w:val="24"/>
                <w:shd w:val="clear" w:color="auto" w:fill="FFFFFF"/>
              </w:rPr>
              <w:t>加强</w:t>
            </w:r>
            <w:r>
              <w:rPr>
                <w:rFonts w:ascii="方正仿宋_GBK" w:eastAsia="方正仿宋_GBK" w:hAnsi="方正仿宋_GBK" w:cs="方正仿宋_GBK" w:hint="eastAsia"/>
                <w:color w:val="000000"/>
                <w:sz w:val="24"/>
                <w:shd w:val="clear" w:color="auto" w:fill="FFFFFF"/>
              </w:rPr>
              <w:t>人员学习培训，不断提高法治意识和业务水平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pPr>
              <w:pStyle w:val="3"/>
              <w:ind w:leftChars="50" w:left="105"/>
            </w:pPr>
          </w:p>
        </w:tc>
      </w:tr>
    </w:tbl>
    <w:p w:rsidR="00223E25" w:rsidRDefault="00223E25" w:rsidP="00223E25">
      <w:pPr>
        <w:rPr>
          <w:rFonts w:ascii="Times New Roman" w:eastAsia="方正小标宋_GBK" w:hAnsi="Times New Roman" w:cs="Times New Roman"/>
          <w:sz w:val="36"/>
          <w:szCs w:val="36"/>
        </w:rPr>
      </w:pPr>
    </w:p>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223E25">
        <w:trPr>
          <w:trHeight w:val="80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55" w:type="dxa"/>
            <w:vMerge/>
            <w:vAlign w:val="center"/>
          </w:tcPr>
          <w:p w:rsidR="00223E25" w:rsidRDefault="00223E25" w:rsidP="00174008">
            <w:pPr>
              <w:autoSpaceDN w:val="0"/>
              <w:rPr>
                <w:rFonts w:ascii="Times New Roman" w:hAnsi="Times New Roman" w:cs="Times New Roman"/>
              </w:rPr>
            </w:pPr>
          </w:p>
        </w:tc>
        <w:tc>
          <w:tcPr>
            <w:tcW w:w="148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3</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themeColor="text1"/>
                <w:sz w:val="24"/>
                <w:shd w:val="clear" w:color="auto" w:fill="FFFFFF"/>
                <w:lang w:val="zh-CN"/>
              </w:rPr>
              <w:t>曲靖市广播电视台</w:t>
            </w:r>
          </w:p>
        </w:tc>
        <w:tc>
          <w:tcPr>
            <w:tcW w:w="148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12530300431715948X</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w:t>
            </w:r>
            <w:r>
              <w:rPr>
                <w:rFonts w:ascii="方正仿宋_GBK" w:eastAsia="方正仿宋_GBK" w:hAnsi="方正仿宋_GBK" w:cs="方正仿宋_GBK" w:hint="eastAsia"/>
                <w:color w:val="000000"/>
                <w:sz w:val="24"/>
                <w:shd w:val="clear" w:color="auto" w:fill="FFFFFF"/>
              </w:rPr>
              <w:t>看播出的境外影视剧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lang w:val="zh-CN"/>
              </w:rPr>
            </w:pP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lang w:val="zh-CN"/>
              </w:rPr>
            </w:pPr>
          </w:p>
          <w:p w:rsidR="00223E25" w:rsidRDefault="00223E25" w:rsidP="00174008">
            <w:pPr>
              <w:pStyle w:val="3"/>
              <w:ind w:leftChars="50" w:left="105"/>
              <w:rPr>
                <w:lang w:val="zh-CN"/>
              </w:rPr>
            </w:pPr>
          </w:p>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lang w:val="zh-CN"/>
              </w:rPr>
              <w:t>发现问题：</w:t>
            </w:r>
            <w:r>
              <w:rPr>
                <w:rFonts w:ascii="方正仿宋_GBK" w:eastAsia="方正仿宋_GBK" w:hAnsi="方正仿宋_GBK" w:cs="方正仿宋_GBK" w:hint="eastAsia"/>
                <w:color w:val="000000"/>
                <w:sz w:val="24"/>
                <w:shd w:val="clear" w:color="auto" w:fill="FFFFFF"/>
              </w:rPr>
              <w:t>未发现明显违规问题。</w:t>
            </w:r>
          </w:p>
          <w:p w:rsidR="00223E25" w:rsidRDefault="00223E25" w:rsidP="00174008">
            <w:pPr>
              <w:spacing w:line="340" w:lineRule="exact"/>
              <w:jc w:val="lef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hint="eastAsia"/>
                <w:color w:val="000000"/>
                <w:sz w:val="24"/>
                <w:shd w:val="clear" w:color="auto" w:fill="FFFFFF"/>
                <w:lang w:val="zh-CN"/>
              </w:rPr>
              <w:t>，始终把社会效益放在首位</w:t>
            </w:r>
            <w:r>
              <w:rPr>
                <w:rFonts w:ascii="方正仿宋_GBK" w:eastAsia="方正仿宋_GBK" w:hAnsi="方正仿宋_GBK" w:cs="方正仿宋_GBK" w:hint="eastAsia"/>
                <w:color w:val="000000"/>
                <w:sz w:val="24"/>
                <w:shd w:val="clear" w:color="auto" w:fill="FFFFFF"/>
              </w:rPr>
              <w:t>；二是</w:t>
            </w:r>
            <w:r>
              <w:rPr>
                <w:rFonts w:ascii="方正仿宋_GBK" w:eastAsia="方正仿宋_GBK" w:hAnsi="方正仿宋_GBK" w:cs="方正仿宋_GBK"/>
                <w:color w:val="000000"/>
                <w:sz w:val="24"/>
                <w:shd w:val="clear" w:color="auto" w:fill="FFFFFF"/>
                <w:lang w:val="zh-CN"/>
              </w:rPr>
              <w:t>加强</w:t>
            </w:r>
            <w:r>
              <w:rPr>
                <w:rFonts w:ascii="方正仿宋_GBK" w:eastAsia="方正仿宋_GBK" w:hAnsi="方正仿宋_GBK" w:cs="方正仿宋_GBK" w:hint="eastAsia"/>
                <w:color w:val="000000"/>
                <w:sz w:val="24"/>
                <w:shd w:val="clear" w:color="auto" w:fill="FFFFFF"/>
                <w:lang w:val="zh-CN"/>
              </w:rPr>
              <w:t>播出</w:t>
            </w:r>
            <w:r>
              <w:rPr>
                <w:rFonts w:ascii="方正仿宋_GBK" w:eastAsia="方正仿宋_GBK" w:hAnsi="方正仿宋_GBK" w:cs="方正仿宋_GBK"/>
                <w:color w:val="000000"/>
                <w:sz w:val="24"/>
                <w:shd w:val="clear" w:color="auto" w:fill="FFFFFF"/>
                <w:lang w:val="zh-CN"/>
              </w:rPr>
              <w:t>管理</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color w:val="000000"/>
                <w:sz w:val="24"/>
                <w:shd w:val="clear" w:color="auto" w:fill="FFFFFF"/>
                <w:lang w:val="zh-CN"/>
              </w:rPr>
              <w:t>杜绝违规现象发生</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三是</w:t>
            </w:r>
            <w:r>
              <w:rPr>
                <w:rFonts w:ascii="方正仿宋_GBK" w:eastAsia="方正仿宋_GBK" w:hAnsi="方正仿宋_GBK" w:cs="方正仿宋_GBK"/>
                <w:color w:val="000000"/>
                <w:sz w:val="24"/>
                <w:shd w:val="clear" w:color="auto" w:fill="FFFFFF"/>
              </w:rPr>
              <w:t>加强</w:t>
            </w:r>
            <w:r>
              <w:rPr>
                <w:rFonts w:ascii="方正仿宋_GBK" w:eastAsia="方正仿宋_GBK" w:hAnsi="方正仿宋_GBK" w:cs="方正仿宋_GBK" w:hint="eastAsia"/>
                <w:color w:val="000000"/>
                <w:sz w:val="24"/>
                <w:shd w:val="clear" w:color="auto" w:fill="FFFFFF"/>
              </w:rPr>
              <w:t>人员学习培训，不断提高法治意识和业务水平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223E25">
            <w:pPr>
              <w:spacing w:line="340" w:lineRule="exact"/>
              <w:jc w:val="left"/>
              <w:rPr>
                <w:rFonts w:ascii="方正仿宋_GBK" w:eastAsia="方正仿宋_GBK" w:hAnsi="方正仿宋_GBK" w:cs="方正仿宋_GBK"/>
                <w:color w:val="000000"/>
                <w:sz w:val="24"/>
                <w:shd w:val="clear" w:color="auto" w:fill="FFFFFF"/>
              </w:rPr>
            </w:pPr>
            <w:bookmarkStart w:id="0" w:name="_GoBack"/>
            <w:bookmarkEnd w:id="0"/>
          </w:p>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shd w:val="clear" w:color="auto" w:fill="FFFFFF"/>
              </w:rPr>
            </w:pPr>
          </w:p>
          <w:p w:rsidR="00223E25" w:rsidRDefault="00223E25" w:rsidP="00174008"/>
        </w:tc>
      </w:tr>
    </w:tbl>
    <w:p w:rsidR="00223E25" w:rsidRDefault="00223E25" w:rsidP="00223E25"/>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174008">
        <w:trPr>
          <w:trHeight w:val="91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55" w:type="dxa"/>
            <w:vMerge/>
            <w:vAlign w:val="center"/>
          </w:tcPr>
          <w:p w:rsidR="00223E25" w:rsidRDefault="00223E25" w:rsidP="00174008">
            <w:pPr>
              <w:autoSpaceDN w:val="0"/>
              <w:rPr>
                <w:rFonts w:ascii="Times New Roman" w:hAnsi="Times New Roman" w:cs="Times New Roman"/>
              </w:rPr>
            </w:pPr>
          </w:p>
        </w:tc>
        <w:tc>
          <w:tcPr>
            <w:tcW w:w="148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4</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保山市广播电视台</w:t>
            </w:r>
          </w:p>
        </w:tc>
        <w:tc>
          <w:tcPr>
            <w:tcW w:w="148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91530500799881450T</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发现问题</w:t>
            </w:r>
            <w:r>
              <w:rPr>
                <w:rFonts w:ascii="方正仿宋_GBK" w:eastAsia="方正仿宋_GBK" w:hAnsi="方正仿宋_GBK" w:cs="方正仿宋_GBK" w:hint="eastAsia"/>
                <w:color w:val="000000"/>
                <w:sz w:val="24"/>
              </w:rPr>
              <w:t>：</w:t>
            </w:r>
            <w:r>
              <w:rPr>
                <w:rFonts w:ascii="方正仿宋_GBK" w:eastAsia="方正仿宋_GBK" w:hAnsi="方正仿宋_GBK" w:cs="方正仿宋_GBK" w:hint="eastAsia"/>
                <w:color w:val="000000"/>
                <w:sz w:val="24"/>
                <w:shd w:val="clear" w:color="auto" w:fill="FFFFFF"/>
              </w:rPr>
              <w:t>未发现明显违规问题</w:t>
            </w:r>
          </w:p>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hint="eastAsia"/>
                <w:color w:val="000000"/>
                <w:sz w:val="24"/>
                <w:shd w:val="clear" w:color="auto" w:fill="FFFFFF"/>
                <w:lang w:val="zh-CN"/>
              </w:rPr>
              <w:t>，始终把社会效益放在首位</w:t>
            </w:r>
            <w:r>
              <w:rPr>
                <w:rFonts w:ascii="方正仿宋_GBK" w:eastAsia="方正仿宋_GBK" w:hAnsi="方正仿宋_GBK" w:cs="方正仿宋_GBK" w:hint="eastAsia"/>
                <w:color w:val="000000"/>
                <w:sz w:val="24"/>
                <w:shd w:val="clear" w:color="auto" w:fill="FFFFFF"/>
              </w:rPr>
              <w:t>；二是</w:t>
            </w:r>
            <w:r>
              <w:rPr>
                <w:rFonts w:ascii="方正仿宋_GBK" w:eastAsia="方正仿宋_GBK" w:hAnsi="方正仿宋_GBK" w:cs="方正仿宋_GBK"/>
                <w:color w:val="000000"/>
                <w:sz w:val="24"/>
                <w:shd w:val="clear" w:color="auto" w:fill="FFFFFF"/>
                <w:lang w:val="zh-CN"/>
              </w:rPr>
              <w:t>加强</w:t>
            </w:r>
            <w:r>
              <w:rPr>
                <w:rFonts w:ascii="方正仿宋_GBK" w:eastAsia="方正仿宋_GBK" w:hAnsi="方正仿宋_GBK" w:cs="方正仿宋_GBK" w:hint="eastAsia"/>
                <w:color w:val="000000"/>
                <w:sz w:val="24"/>
                <w:shd w:val="clear" w:color="auto" w:fill="FFFFFF"/>
                <w:lang w:val="zh-CN"/>
              </w:rPr>
              <w:t>播出</w:t>
            </w:r>
            <w:r>
              <w:rPr>
                <w:rFonts w:ascii="方正仿宋_GBK" w:eastAsia="方正仿宋_GBK" w:hAnsi="方正仿宋_GBK" w:cs="方正仿宋_GBK"/>
                <w:color w:val="000000"/>
                <w:sz w:val="24"/>
                <w:shd w:val="clear" w:color="auto" w:fill="FFFFFF"/>
                <w:lang w:val="zh-CN"/>
              </w:rPr>
              <w:t>管理</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color w:val="000000"/>
                <w:sz w:val="24"/>
                <w:shd w:val="clear" w:color="auto" w:fill="FFFFFF"/>
                <w:lang w:val="zh-CN"/>
              </w:rPr>
              <w:t>杜绝违规现象发生</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三是</w:t>
            </w:r>
            <w:r>
              <w:rPr>
                <w:rFonts w:ascii="方正仿宋_GBK" w:eastAsia="方正仿宋_GBK" w:hAnsi="方正仿宋_GBK" w:cs="方正仿宋_GBK"/>
                <w:color w:val="000000"/>
                <w:sz w:val="24"/>
                <w:shd w:val="clear" w:color="auto" w:fill="FFFFFF"/>
              </w:rPr>
              <w:t>加强</w:t>
            </w:r>
            <w:r>
              <w:rPr>
                <w:rFonts w:ascii="方正仿宋_GBK" w:eastAsia="方正仿宋_GBK" w:hAnsi="方正仿宋_GBK" w:cs="方正仿宋_GBK" w:hint="eastAsia"/>
                <w:color w:val="000000"/>
                <w:sz w:val="24"/>
                <w:shd w:val="clear" w:color="auto" w:fill="FFFFFF"/>
              </w:rPr>
              <w:t>人员学习培训，不断提高法治意识和业务水平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pStyle w:val="3"/>
              <w:ind w:leftChars="50" w:left="105"/>
            </w:pPr>
          </w:p>
        </w:tc>
      </w:tr>
    </w:tbl>
    <w:p w:rsidR="00223E25" w:rsidRDefault="00223E25" w:rsidP="00223E25"/>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174008">
        <w:trPr>
          <w:trHeight w:val="85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55" w:type="dxa"/>
            <w:vMerge/>
            <w:vAlign w:val="center"/>
          </w:tcPr>
          <w:p w:rsidR="00223E25" w:rsidRDefault="00223E25" w:rsidP="00174008">
            <w:pPr>
              <w:autoSpaceDN w:val="0"/>
              <w:rPr>
                <w:rFonts w:ascii="Times New Roman" w:hAnsi="Times New Roman" w:cs="Times New Roman"/>
              </w:rPr>
            </w:pPr>
          </w:p>
        </w:tc>
        <w:tc>
          <w:tcPr>
            <w:tcW w:w="148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5</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大理州广播电视台</w:t>
            </w:r>
          </w:p>
        </w:tc>
        <w:tc>
          <w:tcPr>
            <w:tcW w:w="148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12532900432545813M</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发现问题</w:t>
            </w:r>
            <w:r>
              <w:rPr>
                <w:rFonts w:ascii="方正仿宋_GBK" w:eastAsia="方正仿宋_GBK" w:hAnsi="方正仿宋_GBK" w:cs="方正仿宋_GBK" w:hint="eastAsia"/>
                <w:color w:val="000000"/>
                <w:sz w:val="24"/>
              </w:rPr>
              <w:t>：</w:t>
            </w:r>
            <w:r>
              <w:rPr>
                <w:rFonts w:ascii="方正仿宋_GBK" w:eastAsia="方正仿宋_GBK" w:hAnsi="方正仿宋_GBK" w:cs="方正仿宋_GBK" w:hint="eastAsia"/>
                <w:color w:val="000000"/>
                <w:sz w:val="24"/>
                <w:shd w:val="clear" w:color="auto" w:fill="FFFFFF"/>
              </w:rPr>
              <w:t>未发现明显违规问题</w:t>
            </w:r>
          </w:p>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hint="eastAsia"/>
                <w:color w:val="000000"/>
                <w:sz w:val="24"/>
                <w:shd w:val="clear" w:color="auto" w:fill="FFFFFF"/>
                <w:lang w:val="zh-CN"/>
              </w:rPr>
              <w:t>，始终把社会效益放在首位</w:t>
            </w:r>
            <w:r>
              <w:rPr>
                <w:rFonts w:ascii="方正仿宋_GBK" w:eastAsia="方正仿宋_GBK" w:hAnsi="方正仿宋_GBK" w:cs="方正仿宋_GBK" w:hint="eastAsia"/>
                <w:color w:val="000000"/>
                <w:sz w:val="24"/>
                <w:shd w:val="clear" w:color="auto" w:fill="FFFFFF"/>
              </w:rPr>
              <w:t>；二是</w:t>
            </w:r>
            <w:r>
              <w:rPr>
                <w:rFonts w:ascii="方正仿宋_GBK" w:eastAsia="方正仿宋_GBK" w:hAnsi="方正仿宋_GBK" w:cs="方正仿宋_GBK"/>
                <w:color w:val="000000"/>
                <w:sz w:val="24"/>
                <w:shd w:val="clear" w:color="auto" w:fill="FFFFFF"/>
                <w:lang w:val="zh-CN"/>
              </w:rPr>
              <w:t>加强</w:t>
            </w:r>
            <w:r>
              <w:rPr>
                <w:rFonts w:ascii="方正仿宋_GBK" w:eastAsia="方正仿宋_GBK" w:hAnsi="方正仿宋_GBK" w:cs="方正仿宋_GBK" w:hint="eastAsia"/>
                <w:color w:val="000000"/>
                <w:sz w:val="24"/>
                <w:shd w:val="clear" w:color="auto" w:fill="FFFFFF"/>
                <w:lang w:val="zh-CN"/>
              </w:rPr>
              <w:t>播出</w:t>
            </w:r>
            <w:r>
              <w:rPr>
                <w:rFonts w:ascii="方正仿宋_GBK" w:eastAsia="方正仿宋_GBK" w:hAnsi="方正仿宋_GBK" w:cs="方正仿宋_GBK"/>
                <w:color w:val="000000"/>
                <w:sz w:val="24"/>
                <w:shd w:val="clear" w:color="auto" w:fill="FFFFFF"/>
                <w:lang w:val="zh-CN"/>
              </w:rPr>
              <w:t>管理</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color w:val="000000"/>
                <w:sz w:val="24"/>
                <w:shd w:val="clear" w:color="auto" w:fill="FFFFFF"/>
                <w:lang w:val="zh-CN"/>
              </w:rPr>
              <w:t>杜绝违规现象发生</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三是</w:t>
            </w:r>
            <w:r>
              <w:rPr>
                <w:rFonts w:ascii="方正仿宋_GBK" w:eastAsia="方正仿宋_GBK" w:hAnsi="方正仿宋_GBK" w:cs="方正仿宋_GBK"/>
                <w:color w:val="000000"/>
                <w:sz w:val="24"/>
                <w:shd w:val="clear" w:color="auto" w:fill="FFFFFF"/>
              </w:rPr>
              <w:t>加强</w:t>
            </w:r>
            <w:r>
              <w:rPr>
                <w:rFonts w:ascii="方正仿宋_GBK" w:eastAsia="方正仿宋_GBK" w:hAnsi="方正仿宋_GBK" w:cs="方正仿宋_GBK" w:hint="eastAsia"/>
                <w:color w:val="000000"/>
                <w:sz w:val="24"/>
                <w:shd w:val="clear" w:color="auto" w:fill="FFFFFF"/>
              </w:rPr>
              <w:t>人员学习培训，不断提高法治意识和业务水平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pStyle w:val="3"/>
              <w:ind w:leftChars="50" w:left="105"/>
            </w:pPr>
          </w:p>
        </w:tc>
      </w:tr>
    </w:tbl>
    <w:p w:rsidR="00223E25" w:rsidRDefault="00223E25" w:rsidP="00223E25">
      <w:pPr>
        <w:jc w:val="center"/>
        <w:rPr>
          <w:rFonts w:ascii="Times New Roman" w:eastAsia="方正小标宋_GBK" w:hAnsi="Times New Roman" w:cs="Times New Roman"/>
          <w:sz w:val="36"/>
          <w:szCs w:val="36"/>
        </w:rPr>
      </w:pPr>
    </w:p>
    <w:p w:rsidR="00223E25" w:rsidRDefault="00223E25" w:rsidP="00223E25">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lastRenderedPageBreak/>
        <w:t>云南省广播电视局双随机抽查结果公开表</w:t>
      </w:r>
    </w:p>
    <w:tbl>
      <w:tblPr>
        <w:tblW w:w="13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6"/>
        <w:gridCol w:w="729"/>
        <w:gridCol w:w="855"/>
        <w:gridCol w:w="1485"/>
        <w:gridCol w:w="1380"/>
        <w:gridCol w:w="4380"/>
        <w:gridCol w:w="4299"/>
      </w:tblGrid>
      <w:tr w:rsidR="00223E25" w:rsidTr="00174008">
        <w:trPr>
          <w:trHeight w:val="510"/>
          <w:jc w:val="center"/>
        </w:trPr>
        <w:tc>
          <w:tcPr>
            <w:tcW w:w="466"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序号</w:t>
            </w:r>
          </w:p>
        </w:tc>
        <w:tc>
          <w:tcPr>
            <w:tcW w:w="72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部门</w:t>
            </w:r>
          </w:p>
        </w:tc>
        <w:tc>
          <w:tcPr>
            <w:tcW w:w="85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对象</w:t>
            </w:r>
          </w:p>
        </w:tc>
        <w:tc>
          <w:tcPr>
            <w:tcW w:w="1485"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企业注册或统一社会信用代码</w:t>
            </w:r>
          </w:p>
        </w:tc>
        <w:tc>
          <w:tcPr>
            <w:tcW w:w="1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w:t>
            </w:r>
          </w:p>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时间</w:t>
            </w:r>
          </w:p>
        </w:tc>
        <w:tc>
          <w:tcPr>
            <w:tcW w:w="4380"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抽查项目及内容</w:t>
            </w:r>
          </w:p>
        </w:tc>
        <w:tc>
          <w:tcPr>
            <w:tcW w:w="4299" w:type="dxa"/>
            <w:vMerge w:val="restart"/>
            <w:vAlign w:val="center"/>
          </w:tcPr>
          <w:p w:rsidR="00223E25" w:rsidRDefault="00223E25" w:rsidP="00174008">
            <w:pPr>
              <w:autoSpaceDN w:val="0"/>
              <w:spacing w:line="400" w:lineRule="exact"/>
              <w:jc w:val="center"/>
              <w:textAlignment w:val="center"/>
              <w:rPr>
                <w:rFonts w:ascii="Times New Roman" w:eastAsia="方正黑体_GBK" w:hAnsi="Times New Roman" w:cs="Times New Roman"/>
                <w:color w:val="000000"/>
                <w:sz w:val="24"/>
              </w:rPr>
            </w:pPr>
            <w:r>
              <w:rPr>
                <w:rFonts w:ascii="Times New Roman" w:eastAsia="方正黑体_GBK" w:hAnsi="Times New Roman" w:cs="Times New Roman"/>
                <w:color w:val="000000"/>
                <w:sz w:val="24"/>
              </w:rPr>
              <w:t>抽查结果</w:t>
            </w:r>
          </w:p>
        </w:tc>
      </w:tr>
      <w:tr w:rsidR="00223E25" w:rsidTr="00174008">
        <w:trPr>
          <w:trHeight w:val="915"/>
          <w:jc w:val="center"/>
        </w:trPr>
        <w:tc>
          <w:tcPr>
            <w:tcW w:w="466" w:type="dxa"/>
            <w:vMerge/>
            <w:vAlign w:val="center"/>
          </w:tcPr>
          <w:p w:rsidR="00223E25" w:rsidRDefault="00223E25" w:rsidP="00174008">
            <w:pPr>
              <w:autoSpaceDN w:val="0"/>
              <w:rPr>
                <w:rFonts w:ascii="Times New Roman" w:hAnsi="Times New Roman" w:cs="Times New Roman"/>
              </w:rPr>
            </w:pPr>
          </w:p>
        </w:tc>
        <w:tc>
          <w:tcPr>
            <w:tcW w:w="729" w:type="dxa"/>
            <w:vMerge/>
            <w:vAlign w:val="center"/>
          </w:tcPr>
          <w:p w:rsidR="00223E25" w:rsidRDefault="00223E25" w:rsidP="00174008">
            <w:pPr>
              <w:autoSpaceDN w:val="0"/>
              <w:rPr>
                <w:rFonts w:ascii="Times New Roman" w:hAnsi="Times New Roman" w:cs="Times New Roman"/>
              </w:rPr>
            </w:pPr>
          </w:p>
        </w:tc>
        <w:tc>
          <w:tcPr>
            <w:tcW w:w="855" w:type="dxa"/>
            <w:vMerge/>
            <w:vAlign w:val="center"/>
          </w:tcPr>
          <w:p w:rsidR="00223E25" w:rsidRDefault="00223E25" w:rsidP="00174008">
            <w:pPr>
              <w:autoSpaceDN w:val="0"/>
              <w:rPr>
                <w:rFonts w:ascii="Times New Roman" w:hAnsi="Times New Roman" w:cs="Times New Roman"/>
              </w:rPr>
            </w:pPr>
          </w:p>
        </w:tc>
        <w:tc>
          <w:tcPr>
            <w:tcW w:w="1485" w:type="dxa"/>
            <w:vMerge/>
            <w:vAlign w:val="center"/>
          </w:tcPr>
          <w:p w:rsidR="00223E25" w:rsidRDefault="00223E25" w:rsidP="00174008">
            <w:pPr>
              <w:autoSpaceDN w:val="0"/>
              <w:jc w:val="center"/>
              <w:rPr>
                <w:rFonts w:ascii="Times New Roman" w:hAnsi="Times New Roman" w:cs="Times New Roman"/>
              </w:rPr>
            </w:pPr>
          </w:p>
        </w:tc>
        <w:tc>
          <w:tcPr>
            <w:tcW w:w="1380" w:type="dxa"/>
            <w:vMerge/>
            <w:vAlign w:val="center"/>
          </w:tcPr>
          <w:p w:rsidR="00223E25" w:rsidRDefault="00223E25" w:rsidP="00174008">
            <w:pPr>
              <w:autoSpaceDN w:val="0"/>
              <w:jc w:val="center"/>
              <w:rPr>
                <w:rFonts w:ascii="Times New Roman" w:hAnsi="Times New Roman" w:cs="Times New Roman"/>
              </w:rPr>
            </w:pPr>
          </w:p>
        </w:tc>
        <w:tc>
          <w:tcPr>
            <w:tcW w:w="4380" w:type="dxa"/>
            <w:vMerge/>
            <w:vAlign w:val="center"/>
          </w:tcPr>
          <w:p w:rsidR="00223E25" w:rsidRDefault="00223E25" w:rsidP="00174008">
            <w:pPr>
              <w:autoSpaceDN w:val="0"/>
              <w:rPr>
                <w:rFonts w:ascii="Times New Roman" w:hAnsi="Times New Roman" w:cs="Times New Roman"/>
              </w:rPr>
            </w:pPr>
          </w:p>
        </w:tc>
        <w:tc>
          <w:tcPr>
            <w:tcW w:w="4299" w:type="dxa"/>
            <w:vMerge/>
            <w:vAlign w:val="center"/>
          </w:tcPr>
          <w:p w:rsidR="00223E25" w:rsidRDefault="00223E25" w:rsidP="00174008">
            <w:pPr>
              <w:autoSpaceDN w:val="0"/>
              <w:rPr>
                <w:rFonts w:ascii="Times New Roman" w:hAnsi="Times New Roman" w:cs="Times New Roman"/>
              </w:rPr>
            </w:pPr>
          </w:p>
        </w:tc>
      </w:tr>
      <w:tr w:rsidR="00223E25" w:rsidTr="00174008">
        <w:trPr>
          <w:trHeight w:val="90"/>
          <w:jc w:val="center"/>
        </w:trPr>
        <w:tc>
          <w:tcPr>
            <w:tcW w:w="466" w:type="dxa"/>
            <w:vAlign w:val="center"/>
          </w:tcPr>
          <w:p w:rsidR="00223E25" w:rsidRDefault="00223E25" w:rsidP="00174008">
            <w:pPr>
              <w:autoSpaceDN w:val="0"/>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6</w:t>
            </w:r>
          </w:p>
        </w:tc>
        <w:tc>
          <w:tcPr>
            <w:tcW w:w="729"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电视剧处</w:t>
            </w:r>
          </w:p>
        </w:tc>
        <w:tc>
          <w:tcPr>
            <w:tcW w:w="85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文山州广播电视台</w:t>
            </w:r>
          </w:p>
        </w:tc>
        <w:tc>
          <w:tcPr>
            <w:tcW w:w="1485"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Tahoma" w:eastAsia="Tahoma" w:hAnsi="Tahoma" w:cs="Tahoma"/>
                <w:color w:val="000000"/>
                <w:szCs w:val="21"/>
                <w:shd w:val="clear" w:color="auto" w:fill="F9F9F8"/>
              </w:rPr>
              <w:t>12532600587371360F</w:t>
            </w:r>
          </w:p>
        </w:tc>
        <w:tc>
          <w:tcPr>
            <w:tcW w:w="1380" w:type="dxa"/>
            <w:vAlign w:val="center"/>
          </w:tcPr>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2020年</w:t>
            </w:r>
          </w:p>
          <w:p w:rsidR="00223E25" w:rsidRDefault="00223E25" w:rsidP="00174008">
            <w:pPr>
              <w:autoSpaceDN w:val="0"/>
              <w:spacing w:line="34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11月1日至31日</w:t>
            </w:r>
          </w:p>
        </w:tc>
        <w:tc>
          <w:tcPr>
            <w:tcW w:w="4380" w:type="dxa"/>
            <w:vAlign w:val="center"/>
          </w:tcPr>
          <w:p w:rsidR="00223E25" w:rsidRDefault="00223E25" w:rsidP="00174008">
            <w:pPr>
              <w:spacing w:line="34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shd w:val="clear" w:color="auto" w:fill="FFFFFF"/>
                <w:lang w:val="zh-CN"/>
              </w:rPr>
              <w:t>对播出境外影视剧（动画片）的情况进行监看，</w:t>
            </w:r>
            <w:r>
              <w:rPr>
                <w:rFonts w:ascii="方正仿宋_GBK" w:eastAsia="方正仿宋_GBK" w:hAnsi="方正仿宋_GBK" w:cs="方正仿宋_GBK" w:hint="eastAsia"/>
                <w:color w:val="000000"/>
                <w:sz w:val="24"/>
                <w:shd w:val="clear" w:color="auto" w:fill="FFFFFF"/>
              </w:rPr>
              <w:t>一是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播出的境外影视剧</w:t>
            </w:r>
            <w:r>
              <w:rPr>
                <w:rFonts w:ascii="方正仿宋_GBK" w:eastAsia="方正仿宋_GBK" w:hAnsi="方正仿宋_GBK" w:cs="方正仿宋_GBK" w:hint="eastAsia"/>
                <w:color w:val="000000"/>
                <w:sz w:val="24"/>
                <w:shd w:val="clear" w:color="auto" w:fill="FFFFFF"/>
                <w:lang w:val="zh-CN"/>
              </w:rPr>
              <w:t>（动画片）</w:t>
            </w:r>
            <w:r>
              <w:rPr>
                <w:rFonts w:ascii="方正仿宋_GBK" w:eastAsia="方正仿宋_GBK" w:hAnsi="方正仿宋_GBK" w:cs="方正仿宋_GBK" w:hint="eastAsia"/>
                <w:color w:val="000000"/>
                <w:sz w:val="24"/>
                <w:shd w:val="clear" w:color="auto" w:fill="FFFFFF"/>
              </w:rPr>
              <w:t>是否在片头标明发行许可证编号。二是</w:t>
            </w:r>
            <w:r>
              <w:rPr>
                <w:rFonts w:ascii="方正仿宋_GBK" w:eastAsia="方正仿宋_GBK" w:hAnsi="方正仿宋_GBK" w:cs="方正仿宋_GBK" w:hint="eastAsia"/>
                <w:color w:val="000000"/>
                <w:sz w:val="24"/>
                <w:shd w:val="clear" w:color="auto" w:fill="FFFFFF"/>
                <w:lang w:val="zh-CN"/>
              </w:rPr>
              <w:t>监看</w:t>
            </w:r>
            <w:r>
              <w:rPr>
                <w:rFonts w:ascii="方正仿宋_GBK" w:eastAsia="方正仿宋_GBK" w:hAnsi="方正仿宋_GBK" w:cs="方正仿宋_GBK" w:hint="eastAsia"/>
                <w:color w:val="000000"/>
                <w:sz w:val="24"/>
                <w:shd w:val="clear" w:color="auto" w:fill="FFFFFF"/>
              </w:rPr>
              <w:t>相关频道</w:t>
            </w:r>
            <w:r>
              <w:rPr>
                <w:rFonts w:ascii="方正仿宋_GBK" w:eastAsia="方正仿宋_GBK" w:hAnsi="方正仿宋_GBK" w:cs="方正仿宋_GBK" w:hint="eastAsia"/>
                <w:color w:val="000000"/>
                <w:sz w:val="24"/>
                <w:shd w:val="clear" w:color="auto" w:fill="FFFFFF"/>
                <w:lang w:val="zh-CN"/>
              </w:rPr>
              <w:t>每天播出的境外影视剧是否超过该频道当天影视剧总播出时间的</w:t>
            </w:r>
            <w:r>
              <w:rPr>
                <w:rFonts w:ascii="方正仿宋_GBK" w:eastAsia="方正仿宋_GBK" w:hAnsi="方正仿宋_GBK" w:cs="方正仿宋_GBK" w:hint="eastAsia"/>
                <w:color w:val="000000"/>
                <w:sz w:val="24"/>
                <w:shd w:val="clear" w:color="auto" w:fill="FFFFFF"/>
              </w:rPr>
              <w:t>25%</w:t>
            </w:r>
            <w:r>
              <w:rPr>
                <w:rFonts w:ascii="方正仿宋_GBK" w:eastAsia="方正仿宋_GBK" w:hAnsi="方正仿宋_GBK" w:cs="方正仿宋_GBK" w:hint="eastAsia"/>
                <w:color w:val="000000"/>
                <w:sz w:val="24"/>
                <w:shd w:val="clear" w:color="auto" w:fill="FFFFFF"/>
                <w:lang w:val="zh-CN"/>
              </w:rPr>
              <w:t>；每天播出的其他境外电视节目是否超过该频道当天总播出时间的</w:t>
            </w:r>
            <w:r>
              <w:rPr>
                <w:rFonts w:ascii="方正仿宋_GBK" w:eastAsia="方正仿宋_GBK" w:hAnsi="方正仿宋_GBK" w:cs="方正仿宋_GBK" w:hint="eastAsia"/>
                <w:color w:val="000000"/>
                <w:sz w:val="24"/>
                <w:shd w:val="clear" w:color="auto" w:fill="FFFFFF"/>
              </w:rPr>
              <w:t>15%</w:t>
            </w:r>
            <w:r>
              <w:rPr>
                <w:rFonts w:ascii="方正仿宋_GBK" w:eastAsia="方正仿宋_GBK" w:hAnsi="方正仿宋_GBK" w:cs="方正仿宋_GBK" w:hint="eastAsia"/>
                <w:color w:val="000000"/>
                <w:sz w:val="24"/>
                <w:shd w:val="clear" w:color="auto" w:fill="FFFFFF"/>
                <w:lang w:val="zh-CN"/>
              </w:rPr>
              <w:t>。三是监看黄金时段（19：00－22：00）播出的境外影视剧是否经广电总局批准。四是监看相关</w:t>
            </w:r>
            <w:r>
              <w:rPr>
                <w:rFonts w:ascii="方正仿宋_GBK" w:eastAsia="方正仿宋_GBK" w:hAnsi="方正仿宋_GBK" w:cs="方正仿宋_GBK" w:hint="eastAsia"/>
                <w:color w:val="000000"/>
                <w:sz w:val="24"/>
                <w:shd w:val="clear" w:color="auto" w:fill="FFFFFF"/>
              </w:rPr>
              <w:t>频道是否遵守以下规定：</w:t>
            </w:r>
            <w:r>
              <w:rPr>
                <w:rFonts w:ascii="方正仿宋_GBK" w:eastAsia="方正仿宋_GBK" w:hAnsi="方正仿宋_GBK" w:cs="方正仿宋_GBK" w:hint="eastAsia"/>
                <w:color w:val="000000"/>
                <w:sz w:val="24"/>
                <w:shd w:val="clear" w:color="auto" w:fill="FFFFFF"/>
                <w:lang w:val="zh-CN"/>
              </w:rPr>
              <w:t>经批准引进的其他境外电视节目，应当重新包装、编辑，不得直接作为栏目在固定时段播出，节目中不得出现境外频道台标或相关文字的画面，不得出现宣传境外媒体频道的广告等类似内容</w:t>
            </w:r>
            <w:r>
              <w:rPr>
                <w:rFonts w:ascii="方正仿宋_GBK" w:eastAsia="方正仿宋_GBK" w:hAnsi="方正仿宋_GBK" w:cs="方正仿宋_GBK" w:hint="eastAsia"/>
                <w:color w:val="000000"/>
                <w:sz w:val="24"/>
                <w:shd w:val="clear" w:color="auto" w:fill="FFFFFF"/>
              </w:rPr>
              <w:t>。</w:t>
            </w:r>
          </w:p>
        </w:tc>
        <w:tc>
          <w:tcPr>
            <w:tcW w:w="4299" w:type="dxa"/>
            <w:vAlign w:val="center"/>
          </w:tcPr>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发现问题</w:t>
            </w:r>
            <w:r>
              <w:rPr>
                <w:rFonts w:ascii="方正仿宋_GBK" w:eastAsia="方正仿宋_GBK" w:hAnsi="方正仿宋_GBK" w:cs="方正仿宋_GBK" w:hint="eastAsia"/>
                <w:color w:val="000000"/>
                <w:sz w:val="24"/>
              </w:rPr>
              <w:t>：</w:t>
            </w:r>
            <w:r>
              <w:rPr>
                <w:rFonts w:ascii="方正仿宋_GBK" w:eastAsia="方正仿宋_GBK" w:hAnsi="方正仿宋_GBK" w:cs="方正仿宋_GBK" w:hint="eastAsia"/>
                <w:color w:val="000000"/>
                <w:sz w:val="24"/>
                <w:shd w:val="clear" w:color="auto" w:fill="FFFFFF"/>
              </w:rPr>
              <w:t>未发现明显违规问题</w:t>
            </w:r>
          </w:p>
          <w:p w:rsidR="00223E25" w:rsidRDefault="00223E25" w:rsidP="00174008">
            <w:pPr>
              <w:spacing w:line="340" w:lineRule="exact"/>
              <w:rPr>
                <w:rFonts w:ascii="方正仿宋_GBK" w:eastAsia="方正仿宋_GBK" w:hAnsi="方正仿宋_GBK" w:cs="方正仿宋_GBK"/>
                <w:color w:val="000000"/>
                <w:sz w:val="24"/>
                <w:shd w:val="clear" w:color="auto" w:fill="FFFFFF"/>
              </w:rPr>
            </w:pPr>
            <w:r>
              <w:rPr>
                <w:rFonts w:ascii="方正仿宋_GBK" w:eastAsia="方正仿宋_GBK" w:hAnsi="方正仿宋_GBK" w:cs="方正仿宋_GBK" w:hint="eastAsia"/>
                <w:b/>
                <w:bCs/>
                <w:color w:val="000000"/>
                <w:sz w:val="24"/>
              </w:rPr>
              <w:t>处理意见和建议：</w:t>
            </w:r>
            <w:r>
              <w:rPr>
                <w:rFonts w:ascii="方正仿宋_GBK" w:eastAsia="方正仿宋_GBK" w:hAnsi="方正仿宋_GBK" w:cs="方正仿宋_GBK" w:hint="eastAsia"/>
                <w:color w:val="000000"/>
                <w:sz w:val="24"/>
                <w:shd w:val="clear" w:color="auto" w:fill="FFFFFF"/>
              </w:rPr>
              <w:t>一</w:t>
            </w:r>
            <w:r>
              <w:rPr>
                <w:rFonts w:ascii="方正仿宋_GBK" w:eastAsia="方正仿宋_GBK" w:hAnsi="方正仿宋_GBK" w:cs="方正仿宋_GBK" w:hint="eastAsia"/>
                <w:color w:val="000000"/>
                <w:sz w:val="24"/>
                <w:shd w:val="clear" w:color="auto" w:fill="FFFFFF"/>
                <w:lang w:val="zh-CN"/>
              </w:rPr>
              <w:t>是</w:t>
            </w:r>
            <w:r>
              <w:rPr>
                <w:rFonts w:ascii="方正仿宋_GBK" w:eastAsia="方正仿宋_GBK" w:hAnsi="方正仿宋_GBK" w:cs="方正仿宋_GBK"/>
                <w:color w:val="000000"/>
                <w:sz w:val="24"/>
                <w:shd w:val="clear" w:color="auto" w:fill="FFFFFF"/>
                <w:lang w:val="zh-CN"/>
              </w:rPr>
              <w:t>强化政治意识</w:t>
            </w:r>
            <w:r>
              <w:rPr>
                <w:rFonts w:ascii="方正仿宋_GBK" w:eastAsia="方正仿宋_GBK" w:hAnsi="方正仿宋_GBK" w:cs="方正仿宋_GBK" w:hint="eastAsia"/>
                <w:color w:val="000000"/>
                <w:sz w:val="24"/>
                <w:shd w:val="clear" w:color="auto" w:fill="FFFFFF"/>
                <w:lang w:val="zh-CN"/>
              </w:rPr>
              <w:t>，始终把社会效益放在首位</w:t>
            </w:r>
            <w:r>
              <w:rPr>
                <w:rFonts w:ascii="方正仿宋_GBK" w:eastAsia="方正仿宋_GBK" w:hAnsi="方正仿宋_GBK" w:cs="方正仿宋_GBK" w:hint="eastAsia"/>
                <w:color w:val="000000"/>
                <w:sz w:val="24"/>
                <w:shd w:val="clear" w:color="auto" w:fill="FFFFFF"/>
              </w:rPr>
              <w:t>；二是</w:t>
            </w:r>
            <w:r>
              <w:rPr>
                <w:rFonts w:ascii="方正仿宋_GBK" w:eastAsia="方正仿宋_GBK" w:hAnsi="方正仿宋_GBK" w:cs="方正仿宋_GBK"/>
                <w:color w:val="000000"/>
                <w:sz w:val="24"/>
                <w:shd w:val="clear" w:color="auto" w:fill="FFFFFF"/>
                <w:lang w:val="zh-CN"/>
              </w:rPr>
              <w:t>加强</w:t>
            </w:r>
            <w:r>
              <w:rPr>
                <w:rFonts w:ascii="方正仿宋_GBK" w:eastAsia="方正仿宋_GBK" w:hAnsi="方正仿宋_GBK" w:cs="方正仿宋_GBK" w:hint="eastAsia"/>
                <w:color w:val="000000"/>
                <w:sz w:val="24"/>
                <w:shd w:val="clear" w:color="auto" w:fill="FFFFFF"/>
                <w:lang w:val="zh-CN"/>
              </w:rPr>
              <w:t>播出</w:t>
            </w:r>
            <w:r>
              <w:rPr>
                <w:rFonts w:ascii="方正仿宋_GBK" w:eastAsia="方正仿宋_GBK" w:hAnsi="方正仿宋_GBK" w:cs="方正仿宋_GBK"/>
                <w:color w:val="000000"/>
                <w:sz w:val="24"/>
                <w:shd w:val="clear" w:color="auto" w:fill="FFFFFF"/>
                <w:lang w:val="zh-CN"/>
              </w:rPr>
              <w:t>管理</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color w:val="000000"/>
                <w:sz w:val="24"/>
                <w:shd w:val="clear" w:color="auto" w:fill="FFFFFF"/>
                <w:lang w:val="zh-CN"/>
              </w:rPr>
              <w:t>杜绝违规现象发生</w:t>
            </w:r>
            <w:r>
              <w:rPr>
                <w:rFonts w:ascii="方正仿宋_GBK" w:eastAsia="方正仿宋_GBK" w:hAnsi="方正仿宋_GBK" w:cs="方正仿宋_GBK" w:hint="eastAsia"/>
                <w:color w:val="000000"/>
                <w:sz w:val="24"/>
                <w:shd w:val="clear" w:color="auto" w:fill="FFFFFF"/>
                <w:lang w:val="zh-CN"/>
              </w:rPr>
              <w:t>；</w:t>
            </w:r>
            <w:r>
              <w:rPr>
                <w:rFonts w:ascii="方正仿宋_GBK" w:eastAsia="方正仿宋_GBK" w:hAnsi="方正仿宋_GBK" w:cs="方正仿宋_GBK" w:hint="eastAsia"/>
                <w:color w:val="000000"/>
                <w:sz w:val="24"/>
                <w:shd w:val="clear" w:color="auto" w:fill="FFFFFF"/>
              </w:rPr>
              <w:t>三是</w:t>
            </w:r>
            <w:r>
              <w:rPr>
                <w:rFonts w:ascii="方正仿宋_GBK" w:eastAsia="方正仿宋_GBK" w:hAnsi="方正仿宋_GBK" w:cs="方正仿宋_GBK"/>
                <w:color w:val="000000"/>
                <w:sz w:val="24"/>
                <w:shd w:val="clear" w:color="auto" w:fill="FFFFFF"/>
              </w:rPr>
              <w:t>加强</w:t>
            </w:r>
            <w:r>
              <w:rPr>
                <w:rFonts w:ascii="方正仿宋_GBK" w:eastAsia="方正仿宋_GBK" w:hAnsi="方正仿宋_GBK" w:cs="方正仿宋_GBK" w:hint="eastAsia"/>
                <w:color w:val="000000"/>
                <w:sz w:val="24"/>
                <w:shd w:val="clear" w:color="auto" w:fill="FFFFFF"/>
              </w:rPr>
              <w:t>人员学习培训，不断提高法治意识和业务水平</w:t>
            </w:r>
            <w:r>
              <w:rPr>
                <w:rFonts w:ascii="方正仿宋_GBK" w:eastAsia="方正仿宋_GBK" w:hAnsi="方正仿宋_GBK" w:cs="方正仿宋_GBK" w:hint="eastAsia"/>
                <w:color w:val="000000"/>
                <w:sz w:val="24"/>
                <w:shd w:val="clear" w:color="auto" w:fill="FFFFFF"/>
                <w:lang w:val="zh-CN"/>
              </w:rPr>
              <w:t>。</w:t>
            </w:r>
          </w:p>
          <w:p w:rsidR="00223E25" w:rsidRDefault="00223E25" w:rsidP="00174008">
            <w:pPr>
              <w:pStyle w:val="3"/>
              <w:ind w:leftChars="50" w:left="105"/>
            </w:pPr>
          </w:p>
        </w:tc>
      </w:tr>
    </w:tbl>
    <w:p w:rsidR="00CF45F5" w:rsidRDefault="00CF45F5"/>
    <w:sectPr w:rsidR="00CF45F5">
      <w:footerReference w:type="default" r:id="rId5"/>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D1" w:rsidRDefault="00223E25">
    <w:pPr>
      <w:pStyle w:val="a3"/>
    </w:pPr>
    <w:r>
      <w:rPr>
        <w:noProof/>
      </w:rPr>
      <mc:AlternateContent>
        <mc:Choice Requires="wps">
          <w:drawing>
            <wp:anchor distT="0" distB="0" distL="114300" distR="114300" simplePos="0" relativeHeight="251659264" behindDoc="0" locked="0" layoutInCell="1" allowOverlap="1" wp14:anchorId="15DA24EE" wp14:editId="6CC7857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41D1" w:rsidRDefault="00223E25">
                          <w:pPr>
                            <w:pStyle w:val="a3"/>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241D1" w:rsidRDefault="00223E25">
                    <w:pPr>
                      <w:pStyle w:val="a3"/>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25"/>
    <w:rsid w:val="00223E25"/>
    <w:rsid w:val="00CF4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223E25"/>
    <w:pPr>
      <w:widowControl w:val="0"/>
      <w:jc w:val="both"/>
    </w:pPr>
    <w:rPr>
      <w:szCs w:val="24"/>
    </w:rPr>
  </w:style>
  <w:style w:type="paragraph" w:styleId="3">
    <w:name w:val="heading 3"/>
    <w:basedOn w:val="a"/>
    <w:next w:val="a"/>
    <w:link w:val="3Char"/>
    <w:unhideWhenUsed/>
    <w:qFormat/>
    <w:rsid w:val="00223E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223E25"/>
    <w:rPr>
      <w:b/>
      <w:bCs/>
      <w:sz w:val="32"/>
      <w:szCs w:val="32"/>
    </w:rPr>
  </w:style>
  <w:style w:type="paragraph" w:styleId="a3">
    <w:name w:val="footer"/>
    <w:basedOn w:val="a"/>
    <w:link w:val="Char"/>
    <w:qFormat/>
    <w:rsid w:val="00223E25"/>
    <w:pPr>
      <w:tabs>
        <w:tab w:val="center" w:pos="4153"/>
        <w:tab w:val="right" w:pos="8306"/>
      </w:tabs>
      <w:snapToGrid w:val="0"/>
      <w:jc w:val="left"/>
    </w:pPr>
    <w:rPr>
      <w:sz w:val="18"/>
    </w:rPr>
  </w:style>
  <w:style w:type="character" w:customStyle="1" w:styleId="Char">
    <w:name w:val="页脚 Char"/>
    <w:basedOn w:val="a0"/>
    <w:link w:val="a3"/>
    <w:rsid w:val="00223E25"/>
    <w:rPr>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223E25"/>
    <w:pPr>
      <w:widowControl w:val="0"/>
      <w:jc w:val="both"/>
    </w:pPr>
    <w:rPr>
      <w:szCs w:val="24"/>
    </w:rPr>
  </w:style>
  <w:style w:type="paragraph" w:styleId="3">
    <w:name w:val="heading 3"/>
    <w:basedOn w:val="a"/>
    <w:next w:val="a"/>
    <w:link w:val="3Char"/>
    <w:unhideWhenUsed/>
    <w:qFormat/>
    <w:rsid w:val="00223E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223E25"/>
    <w:rPr>
      <w:b/>
      <w:bCs/>
      <w:sz w:val="32"/>
      <w:szCs w:val="32"/>
    </w:rPr>
  </w:style>
  <w:style w:type="paragraph" w:styleId="a3">
    <w:name w:val="footer"/>
    <w:basedOn w:val="a"/>
    <w:link w:val="Char"/>
    <w:qFormat/>
    <w:rsid w:val="00223E25"/>
    <w:pPr>
      <w:tabs>
        <w:tab w:val="center" w:pos="4153"/>
        <w:tab w:val="right" w:pos="8306"/>
      </w:tabs>
      <w:snapToGrid w:val="0"/>
      <w:jc w:val="left"/>
    </w:pPr>
    <w:rPr>
      <w:sz w:val="18"/>
    </w:rPr>
  </w:style>
  <w:style w:type="character" w:customStyle="1" w:styleId="Char">
    <w:name w:val="页脚 Char"/>
    <w:basedOn w:val="a0"/>
    <w:link w:val="a3"/>
    <w:rsid w:val="00223E25"/>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2020-12-30T09:20:00Z</dcterms:created>
  <dcterms:modified xsi:type="dcterms:W3CDTF">2020-12-30T09:21:00Z</dcterms:modified>
</cp:coreProperties>
</file>