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5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广播电视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局关于加强儿童青少年近视综合防控工作的建议会办意见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会办0008号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具体回复意见已由主办单位回复。作为会办单位，我局意见为：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省教育厅：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省第十三届人民代表大会第三次会议代表建议第0008号关于加强儿童青少年近视综合防控工作的建议收悉，省广电局</w:t>
            </w:r>
            <w:r>
              <w:rPr>
                <w:rFonts w:hint="eastAsia" w:eastAsia="方正仿宋_GBK"/>
                <w:sz w:val="24"/>
                <w:szCs w:val="24"/>
              </w:rPr>
              <w:t xml:space="preserve">高度重视，对提案进行了认真学习研究，现提出如下会办意见：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sz w:val="24"/>
                <w:szCs w:val="24"/>
                <w:lang w:eastAsia="zh-CN"/>
              </w:rPr>
              <w:t>省广电局通过年初印发宣传工作要点，召开宣传工作例会、近期重要宣传工作提示等方式，加强对全省广播电视加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大儿童青少年近视防治科普知识宣传，播放公益广告，为开展儿童青少年近视防控工作营造良好氛围。同时，利用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6.6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全国爱眼日、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六一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国际儿童节、寒暑假假期等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重点时节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，通过广播电视及新媒体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多层次、多角度宣传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推广近视防治知识，带动儿童青少年养成良好的用眼习惯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倡导健康的生活方式，鼓励儿童青少年参加户外活动和锻炼，加强视力健康管理。号召社会共同参与关注儿童青少年视力保护，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持续营造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政府主导、部门配合、专家指导、学校教育、家庭关注的良好氛围。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今年来，云南广播电视台先后播出《防控青少年近视 早期干预至关重要》《眼科专家：防蓝光产品不能防近视》《疫情期间减少接触 无接触近视眼手术受欢迎》《青少年居家上网课 如何保护眼睛预防近视？》等广播电视节目，营造了良好的防治近视舆论氛围。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right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儿童青少年视力保护工作既是一项长期而持久的工作，也是一项复杂的系统工程。下阶段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,省广电局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将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积极配合相关职能部门，加强各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有关文件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精神工作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的落实，通过开展各种层面的宣传教育活动使</w:t>
            </w:r>
            <w:bookmarkStart w:id="0" w:name="OLE_LINK1"/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儿童青少年</w:t>
            </w:r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懂得爱眼、用眼、护眼的重要，增强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他们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视力保护意识，提高眼保健知识水平和眼保健能力，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切实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  <w:t>做好青少年儿童视力健康工作。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64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     云南省广播电视局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2020年6月17日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64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C5762"/>
    <w:rsid w:val="05B65538"/>
    <w:rsid w:val="0EA715FB"/>
    <w:rsid w:val="30311859"/>
    <w:rsid w:val="484C5762"/>
    <w:rsid w:val="6F086B0D"/>
    <w:rsid w:val="779640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0"/>
    <w:basedOn w:val="8"/>
    <w:qFormat/>
    <w:uiPriority w:val="0"/>
    <w:pPr>
      <w:widowControl/>
    </w:pPr>
    <w:rPr>
      <w:rFonts w:hint="eastAsia"/>
    </w:rPr>
  </w:style>
  <w:style w:type="paragraph" w:customStyle="1" w:styleId="8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2020-09-09T02:05:00Z</dcterms:created>
  <dc:creator>Administrator</dc:creator>
  <cp:lastModifiedBy>荆棘鸟</cp:lastModifiedBy>
  <dcterms:modified xsi:type="dcterms:W3CDTF">2020-09-09T08:07:56Z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