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云南省广播电视局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2020年度卫星电视广播地面接收设施安装使用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一公开”</w:t>
      </w:r>
      <w:r>
        <w:rPr>
          <w:rFonts w:hint="eastAsia" w:ascii="方正小标宋_GBK" w:hAnsi="方正小标宋_GBK" w:eastAsia="方正小标宋_GBK" w:cs="方正小标宋_GBK"/>
          <w:sz w:val="44"/>
        </w:rPr>
        <w:t>抽查结果公开表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（一）</w:t>
      </w:r>
    </w:p>
    <w:tbl>
      <w:tblPr>
        <w:tblStyle w:val="2"/>
        <w:tblW w:w="1388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33"/>
        <w:gridCol w:w="960"/>
        <w:gridCol w:w="1980"/>
        <w:gridCol w:w="1418"/>
        <w:gridCol w:w="3097"/>
        <w:gridCol w:w="50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6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对象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</w:rPr>
              <w:t>企业注册或统一社会信用代码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97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抽查项目及内容</w:t>
            </w:r>
          </w:p>
        </w:tc>
        <w:tc>
          <w:tcPr>
            <w:tcW w:w="5028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 w:val="continue"/>
            <w:vAlign w:val="center"/>
          </w:tcPr>
          <w:p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028" w:type="dxa"/>
            <w:vMerge w:val="continue"/>
            <w:vAlign w:val="center"/>
          </w:tcPr>
          <w:p>
            <w:pPr>
              <w:autoSpaceDN w:val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6" w:type="dxa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1</w:t>
            </w:r>
          </w:p>
        </w:tc>
        <w:tc>
          <w:tcPr>
            <w:tcW w:w="933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对外交流与合作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处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保山市腾冲玛御谷温泉投资有限公司酒店分公司</w:t>
            </w:r>
          </w:p>
        </w:tc>
        <w:tc>
          <w:tcPr>
            <w:tcW w:w="198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915305220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56987940M</w:t>
            </w:r>
          </w:p>
        </w:tc>
        <w:tc>
          <w:tcPr>
            <w:tcW w:w="14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2020年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8月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日</w:t>
            </w:r>
          </w:p>
        </w:tc>
        <w:tc>
          <w:tcPr>
            <w:tcW w:w="309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境外卫星电视广播地面接收设施的接收目的、接收内容、接收方式和收视对象范围等情况。</w:t>
            </w:r>
          </w:p>
          <w:p>
            <w:pPr>
              <w:spacing w:line="360" w:lineRule="exact"/>
              <w:ind w:firstLine="420" w:firstLineChars="150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</w:p>
        </w:tc>
        <w:tc>
          <w:tcPr>
            <w:tcW w:w="5028" w:type="dxa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</w:rPr>
              <w:t>发现问题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：未发现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违法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违规问题。</w:t>
            </w:r>
          </w:p>
          <w:p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</w:rPr>
              <w:t>处理意见和建议：1.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提高安全播出及防范非法境外卫星电视节目插播的意识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；2.加强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机房安全管理，尽快设置门禁和视频监控设备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466" w:type="dxa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933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2"/>
                <w:lang w:eastAsia="zh-CN"/>
              </w:rPr>
              <w:t>对外交流与合作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  <w:t>处</w:t>
            </w:r>
          </w:p>
        </w:tc>
        <w:tc>
          <w:tcPr>
            <w:tcW w:w="96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2"/>
                <w:lang w:val="en-US" w:eastAsia="zh-CN"/>
              </w:rPr>
              <w:t>昆明市万富酒店管理有限公司西山分公司（富力万达文华酒店）</w:t>
            </w:r>
          </w:p>
        </w:tc>
        <w:tc>
          <w:tcPr>
            <w:tcW w:w="198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91530112MA6L33JX26</w:t>
            </w:r>
          </w:p>
        </w:tc>
        <w:tc>
          <w:tcPr>
            <w:tcW w:w="14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2020年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8月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  <w:t>18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日</w:t>
            </w:r>
          </w:p>
        </w:tc>
        <w:tc>
          <w:tcPr>
            <w:tcW w:w="309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境外卫星电视广播地面接收设施的接收目的、接收内容、接收方式和收视对象范围等情况。</w:t>
            </w:r>
          </w:p>
          <w:p>
            <w:pPr>
              <w:spacing w:line="340" w:lineRule="exact"/>
              <w:ind w:firstLine="420" w:firstLineChars="1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5028" w:type="dxa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2"/>
              </w:rPr>
              <w:t>发现问题：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未发现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违法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</w:rPr>
              <w:t>违规问题。</w:t>
            </w:r>
          </w:p>
          <w:p>
            <w:pPr>
              <w:autoSpaceDN w:val="0"/>
              <w:spacing w:line="34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2"/>
              </w:rPr>
              <w:t>处理意见和建议：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lang w:eastAsia="zh-CN"/>
              </w:rPr>
              <w:t>提高安全播出及防范非法境外卫星电视节目插播的意识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  <w:t>；2.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2"/>
                <w:lang w:eastAsia="zh-CN"/>
              </w:rPr>
              <w:t>加强设施管理人员的法制及技术培训，提高突发情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2"/>
                <w:lang w:eastAsia="zh-CN"/>
              </w:rPr>
              <w:t>况的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2"/>
                <w:lang w:eastAsia="zh-CN"/>
              </w:rPr>
              <w:t>处置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2"/>
                <w:lang w:eastAsia="zh-CN"/>
              </w:rPr>
              <w:t>能力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2"/>
              </w:rPr>
              <w:t>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9B"/>
    <w:rsid w:val="0084779B"/>
    <w:rsid w:val="00B049D3"/>
    <w:rsid w:val="62D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1016</Characters>
  <Lines>8</Lines>
  <Paragraphs>2</Paragraphs>
  <TotalTime>0</TotalTime>
  <ScaleCrop>false</ScaleCrop>
  <LinksUpToDate>false</LinksUpToDate>
  <CharactersWithSpaces>1192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2020-08-13T09:09:00Z</dcterms:created>
  <dc:creator>xb21cn</dc:creator>
  <cp:lastModifiedBy>ydl</cp:lastModifiedBy>
  <dcterms:modified xsi:type="dcterms:W3CDTF">2020-08-19T02:32:30Z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