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lang w:val="zh-CN"/>
        </w:rPr>
        <w:t>云南省广播电视局贡山中波台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rPr>
          <w:rFonts w:hint="default" w:ascii="Times New Roman" w:hAnsi="Times New Roman" w:eastAsia="方正小标宋简体" w:cs="Times New Roman"/>
          <w:sz w:val="36"/>
          <w:szCs w:val="36"/>
          <w:highlight w:val="none"/>
        </w:rPr>
      </w:pP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bookmarkStart w:id="0" w:name="_GoBack"/>
      <w:bookmarkEnd w:id="0"/>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pStyle w:val="4"/>
        <w:adjustRightInd w:val="0"/>
        <w:snapToGrid w:val="0"/>
        <w:spacing w:line="600" w:lineRule="exact"/>
        <w:ind w:firstLine="630" w:firstLineChars="210"/>
        <w:rPr>
          <w:rFonts w:hint="default" w:ascii="Times New Roman" w:hAnsi="Times New Roman" w:cs="Times New Roman"/>
          <w:bCs/>
          <w:szCs w:val="30"/>
          <w:highlight w:val="none"/>
        </w:rPr>
      </w:pPr>
      <w:r>
        <w:rPr>
          <w:rFonts w:hint="default" w:ascii="Times New Roman" w:hAnsi="Times New Roman" w:cs="Times New Roman"/>
          <w:bCs/>
          <w:szCs w:val="30"/>
          <w:highlight w:val="none"/>
          <w:lang w:eastAsia="zh-CN"/>
        </w:rPr>
        <w:t>负责辖区内中波广播覆盖、安全播出；负责应急广播体系建设有关工作；负责本台设施设备维护、财务工作和人才队伍建设。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云南省广播电视局贡山中波台共设置3个内设机构，包括：综合科、财务科、技术科。</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云南省广播电视局贡山中波台为基层预算单位，无下属单位。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云南省广播电视局贡山中波台</w:t>
      </w:r>
      <w:r>
        <w:rPr>
          <w:rFonts w:hint="default" w:ascii="Times New Roman" w:hAnsi="Times New Roman" w:eastAsia="仿宋_GB2312" w:cs="Times New Roman"/>
          <w:sz w:val="30"/>
          <w:szCs w:val="30"/>
          <w:highlight w:val="none"/>
          <w:lang w:eastAsia="zh-CN"/>
        </w:rPr>
        <w:t>作为</w:t>
      </w:r>
      <w:r>
        <w:rPr>
          <w:rFonts w:hint="default" w:ascii="Times New Roman" w:hAnsi="Times New Roman" w:eastAsia="仿宋_GB2312" w:cs="Times New Roman"/>
          <w:sz w:val="30"/>
          <w:szCs w:val="30"/>
          <w:highlight w:val="none"/>
          <w:lang w:val="en-US" w:eastAsia="zh-CN"/>
        </w:rPr>
        <w:t>云南省广播电视局的</w:t>
      </w:r>
      <w:r>
        <w:rPr>
          <w:rFonts w:hint="default" w:ascii="Times New Roman" w:hAnsi="Times New Roman" w:eastAsia="仿宋_GB2312" w:cs="Times New Roman"/>
          <w:sz w:val="30"/>
          <w:szCs w:val="30"/>
          <w:highlight w:val="none"/>
          <w:lang w:eastAsia="zh-CN"/>
        </w:rPr>
        <w:t>三级预算单位</w:t>
      </w:r>
      <w:r>
        <w:rPr>
          <w:rFonts w:hint="default" w:ascii="Times New Roman" w:hAnsi="Times New Roman" w:eastAsia="仿宋_GB2312" w:cs="Times New Roman"/>
          <w:sz w:val="30"/>
          <w:szCs w:val="30"/>
          <w:highlight w:val="none"/>
        </w:rPr>
        <w:t>纳入</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部门决算编报</w:t>
      </w:r>
      <w:r>
        <w:rPr>
          <w:rFonts w:hint="default" w:ascii="Times New Roman" w:hAnsi="Times New Roman" w:eastAsia="仿宋_GB2312" w:cs="Times New Roman"/>
          <w:sz w:val="30"/>
          <w:szCs w:val="30"/>
          <w:highlight w:val="none"/>
          <w:lang w:eastAsia="zh-CN"/>
        </w:rPr>
        <w:t>范围</w:t>
      </w:r>
      <w:r>
        <w:rPr>
          <w:rFonts w:hint="default" w:ascii="Times New Roman" w:hAnsi="Times New Roman" w:eastAsia="仿宋_GB2312" w:cs="Times New Roman"/>
          <w:sz w:val="30"/>
          <w:szCs w:val="30"/>
          <w:highlight w:val="none"/>
        </w:rPr>
        <w:t>。</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600" w:firstLineChars="200"/>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云南省广播电视局贡山中波台2025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编制内</w:t>
      </w:r>
      <w:r>
        <w:rPr>
          <w:rFonts w:hint="default" w:ascii="Times New Roman" w:hAnsi="Times New Roman" w:eastAsia="仿宋_GB2312" w:cs="Times New Roman"/>
          <w:sz w:val="30"/>
          <w:szCs w:val="30"/>
          <w:highlight w:val="none"/>
        </w:rPr>
        <w:t>实有人员</w:t>
      </w:r>
      <w:r>
        <w:rPr>
          <w:rFonts w:hint="default" w:ascii="Times New Roman" w:hAnsi="Times New Roman" w:eastAsia="仿宋_GB2312" w:cs="Times New Roman"/>
          <w:color w:val="auto"/>
          <w:sz w:val="30"/>
          <w:szCs w:val="30"/>
          <w:lang w:val="en-US" w:eastAsia="zh-CN"/>
        </w:rPr>
        <w:t>11</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b w:val="0"/>
          <w:bCs w:val="0"/>
          <w:kern w:val="0"/>
          <w:sz w:val="30"/>
          <w:szCs w:val="30"/>
          <w:highlight w:val="none"/>
          <w:lang w:eastAsia="zh-CN"/>
        </w:rPr>
        <w:t>包括</w:t>
      </w:r>
      <w:r>
        <w:rPr>
          <w:rFonts w:hint="default" w:ascii="Times New Roman" w:hAnsi="Times New Roman" w:eastAsia="仿宋_GB2312" w:cs="Times New Roman"/>
          <w:kern w:val="0"/>
          <w:sz w:val="30"/>
          <w:szCs w:val="30"/>
          <w:highlight w:val="none"/>
          <w:lang w:eastAsia="zh-CN"/>
        </w:rPr>
        <w:t>财政拨款开支经费的</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公务员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参照公务员法管理人员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事业管理人员和专业技术人员</w:t>
      </w:r>
      <w:r>
        <w:rPr>
          <w:rFonts w:hint="default" w:ascii="Times New Roman" w:hAnsi="Times New Roman" w:eastAsia="仿宋_GB2312" w:cs="Times New Roman"/>
          <w:color w:val="auto"/>
          <w:sz w:val="30"/>
          <w:szCs w:val="30"/>
          <w:lang w:val="en-US" w:eastAsia="zh-CN"/>
        </w:rPr>
        <w:t>11</w:t>
      </w:r>
      <w:r>
        <w:rPr>
          <w:rFonts w:hint="default" w:ascii="Times New Roman" w:hAnsi="Times New Roman" w:eastAsia="仿宋_GB2312" w:cs="Times New Roman"/>
          <w:kern w:val="0"/>
          <w:sz w:val="30"/>
          <w:szCs w:val="30"/>
          <w:highlight w:val="none"/>
        </w:rPr>
        <w:t>人，机关和事业工人</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云南省广播电视局贡山中波台2025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4</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4</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p>
    <w:p>
      <w:pPr>
        <w:spacing w:line="600" w:lineRule="exact"/>
        <w:ind w:firstLine="600" w:firstLineChars="200"/>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车辆编制1辆，在编实有车辆1辆，超编0辆。</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三、重点工作概述</w:t>
      </w:r>
    </w:p>
    <w:p>
      <w:pPr>
        <w:widowControl/>
        <w:shd w:val="clear" w:color="auto" w:fill="FFFFFF"/>
        <w:spacing w:line="570" w:lineRule="atLeast"/>
        <w:ind w:firstLine="640" w:firstLineChars="200"/>
        <w:jc w:val="left"/>
        <w:rPr>
          <w:rFonts w:hint="default" w:ascii="Times New Roman" w:hAnsi="Times New Roman" w:eastAsia="方正仿宋_GBK" w:cs="Times New Roman"/>
          <w:color w:val="auto"/>
          <w:sz w:val="32"/>
          <w:szCs w:val="32"/>
        </w:rPr>
      </w:pPr>
      <w:r>
        <w:rPr>
          <w:rFonts w:hint="default" w:ascii="Times New Roman" w:hAnsi="Times New Roman" w:eastAsia="仿宋_GB2312" w:cs="Times New Roman"/>
          <w:color w:val="auto"/>
          <w:kern w:val="0"/>
          <w:sz w:val="32"/>
          <w:szCs w:val="32"/>
          <w:shd w:val="clear" w:color="auto" w:fill="FFFFFF"/>
        </w:rPr>
        <w:t>202</w:t>
      </w:r>
      <w:r>
        <w:rPr>
          <w:rFonts w:hint="default" w:ascii="Times New Roman" w:hAnsi="Times New Roman" w:eastAsia="仿宋_GB2312"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年，云南省广播电视局</w:t>
      </w:r>
      <w:r>
        <w:rPr>
          <w:rFonts w:hint="default" w:ascii="Times New Roman" w:hAnsi="Times New Roman" w:eastAsia="方正仿宋_GBK" w:cs="Times New Roman"/>
          <w:color w:val="auto"/>
          <w:kern w:val="0"/>
          <w:sz w:val="32"/>
          <w:szCs w:val="32"/>
          <w:shd w:val="clear" w:color="auto" w:fill="FFFFFF"/>
          <w:lang w:val="en-US" w:eastAsia="zh-CN"/>
        </w:rPr>
        <w:t>贡山中波</w:t>
      </w:r>
      <w:r>
        <w:rPr>
          <w:rFonts w:hint="default" w:ascii="Times New Roman" w:hAnsi="Times New Roman" w:eastAsia="方正仿宋_GBK" w:cs="Times New Roman"/>
          <w:color w:val="auto"/>
          <w:kern w:val="0"/>
          <w:sz w:val="32"/>
          <w:szCs w:val="32"/>
          <w:shd w:val="clear" w:color="auto" w:fill="FFFFFF"/>
        </w:rPr>
        <w:t>台坚持以习近平新时代中国特色社会主义思想为指导，紧紧围绕安全播出保障这一中心任务，坚持以</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党建引领、安全播出、管理优化、智慧运维、事业建设、队伍建设和精神文明建设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七项工程为抓手，持续推进</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规范化、标准化、智慧化</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美丽台站建设，不断提升台站综合管理水平和安播保障能力，扎实推动中波广播事业发展。</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坚持党建引领</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一是强化理论武装</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坚持用习近平新时代中国特色社会主义思想凝心铸魂，严格</w:t>
      </w:r>
      <w:r>
        <w:rPr>
          <w:rFonts w:hint="default" w:ascii="Times New Roman" w:hAnsi="Times New Roman" w:eastAsia="方正仿宋_GBK" w:cs="Times New Roman"/>
          <w:color w:val="auto"/>
          <w:kern w:val="0"/>
          <w:sz w:val="32"/>
          <w:szCs w:val="32"/>
          <w:shd w:val="clear" w:color="auto" w:fill="FFFFFF"/>
          <w:lang w:eastAsia="zh-CN"/>
        </w:rPr>
        <w:t>落实“</w:t>
      </w:r>
      <w:r>
        <w:rPr>
          <w:rFonts w:hint="default" w:ascii="Times New Roman" w:hAnsi="Times New Roman" w:eastAsia="方正仿宋_GBK" w:cs="Times New Roman"/>
          <w:color w:val="auto"/>
          <w:kern w:val="0"/>
          <w:sz w:val="32"/>
          <w:szCs w:val="32"/>
          <w:shd w:val="clear" w:color="auto" w:fill="FFFFFF"/>
        </w:rPr>
        <w:t>第一议题</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第一主题</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制度，抓实周一学习，跟进学习习近平总书记重要讲话和重要指示批示精神，</w:t>
      </w:r>
      <w:r>
        <w:rPr>
          <w:rFonts w:hint="default" w:ascii="Times New Roman" w:hAnsi="Times New Roman" w:eastAsia="方正仿宋_GBK" w:cs="Times New Roman"/>
          <w:color w:val="auto"/>
          <w:kern w:val="0"/>
          <w:sz w:val="32"/>
          <w:szCs w:val="32"/>
          <w:shd w:val="clear" w:color="auto" w:fill="FFFFFF"/>
          <w:lang w:eastAsia="zh-CN"/>
        </w:rPr>
        <w:t>认真</w:t>
      </w:r>
      <w:r>
        <w:rPr>
          <w:rFonts w:hint="default" w:ascii="Times New Roman" w:hAnsi="Times New Roman" w:eastAsia="方正仿宋_GBK" w:cs="Times New Roman"/>
          <w:color w:val="auto"/>
          <w:kern w:val="0"/>
          <w:sz w:val="32"/>
          <w:szCs w:val="32"/>
          <w:shd w:val="clear" w:color="auto" w:fill="FFFFFF"/>
        </w:rPr>
        <w:t>学习贯彻习近平文化思想、习近平总书记考察云南重要讲话精神，做到及时跟进学、联系实际学、笃信笃行学，</w:t>
      </w:r>
      <w:r>
        <w:rPr>
          <w:rFonts w:hint="default" w:ascii="Times New Roman" w:hAnsi="Times New Roman" w:eastAsia="方正仿宋_GBK" w:cs="Times New Roman"/>
          <w:color w:val="auto"/>
          <w:kern w:val="0"/>
          <w:sz w:val="32"/>
          <w:szCs w:val="32"/>
          <w:shd w:val="clear" w:color="auto" w:fill="FFFFFF"/>
          <w:lang w:eastAsia="zh-CN"/>
        </w:rPr>
        <w:t>确保</w:t>
      </w:r>
      <w:r>
        <w:rPr>
          <w:rFonts w:hint="default" w:ascii="Times New Roman" w:hAnsi="Times New Roman" w:eastAsia="方正仿宋_GBK" w:cs="Times New Roman"/>
          <w:color w:val="auto"/>
          <w:kern w:val="0"/>
          <w:sz w:val="32"/>
          <w:szCs w:val="32"/>
          <w:shd w:val="clear" w:color="auto" w:fill="FFFFFF"/>
        </w:rPr>
        <w:t>党的创新理论入脑入心、走深走实。二是强化支部建设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lang w:val="en-US" w:eastAsia="zh-CN"/>
        </w:rPr>
        <w:t>严格</w:t>
      </w:r>
      <w:r>
        <w:rPr>
          <w:rFonts w:hint="default" w:ascii="Times New Roman" w:hAnsi="Times New Roman" w:eastAsia="方正仿宋_GBK" w:cs="Times New Roman"/>
          <w:color w:val="auto"/>
          <w:kern w:val="0"/>
          <w:sz w:val="32"/>
          <w:szCs w:val="32"/>
          <w:shd w:val="clear" w:color="auto" w:fill="FFFFFF"/>
          <w:lang w:eastAsia="zh-CN"/>
        </w:rPr>
        <w:t>执行“</w:t>
      </w:r>
      <w:r>
        <w:rPr>
          <w:rFonts w:hint="default" w:ascii="Times New Roman" w:hAnsi="Times New Roman" w:eastAsia="方正仿宋_GBK" w:cs="Times New Roman"/>
          <w:color w:val="auto"/>
          <w:kern w:val="0"/>
          <w:sz w:val="32"/>
          <w:szCs w:val="32"/>
          <w:shd w:val="clear" w:color="auto" w:fill="FFFFFF"/>
        </w:rPr>
        <w:t>三会一课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、主题党日、组织生活会及民主评议党员等制度，</w:t>
      </w:r>
      <w:r>
        <w:rPr>
          <w:rFonts w:hint="default" w:ascii="Times New Roman" w:hAnsi="Times New Roman" w:eastAsia="仿宋_GB2312" w:cs="Times New Roman"/>
          <w:color w:val="auto"/>
          <w:kern w:val="0"/>
          <w:sz w:val="32"/>
          <w:szCs w:val="32"/>
          <w:shd w:val="clear" w:color="auto" w:fill="FFFFFF"/>
        </w:rPr>
        <w:t>202</w:t>
      </w:r>
      <w:r>
        <w:rPr>
          <w:rFonts w:hint="default" w:ascii="Times New Roman" w:hAnsi="Times New Roman" w:eastAsia="仿宋_GB2312"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年累计开展支部党员大会</w:t>
      </w:r>
      <w:r>
        <w:rPr>
          <w:rFonts w:hint="default" w:ascii="Times New Roman" w:hAnsi="Times New Roman" w:eastAsia="仿宋_GB2312" w:cs="Times New Roman"/>
          <w:color w:val="auto"/>
          <w:kern w:val="0"/>
          <w:sz w:val="32"/>
          <w:szCs w:val="32"/>
          <w:shd w:val="clear" w:color="auto" w:fill="FFFFFF"/>
          <w:lang w:val="en-US" w:eastAsia="zh-CN"/>
        </w:rPr>
        <w:t>16</w:t>
      </w:r>
      <w:r>
        <w:rPr>
          <w:rFonts w:hint="default" w:ascii="Times New Roman" w:hAnsi="Times New Roman" w:eastAsia="仿宋_GB2312" w:cs="Times New Roman"/>
          <w:color w:val="auto"/>
          <w:kern w:val="0"/>
          <w:sz w:val="32"/>
          <w:szCs w:val="32"/>
          <w:shd w:val="clear" w:color="auto" w:fill="FFFFFF"/>
        </w:rPr>
        <w:t>次、领导干部讲党课</w:t>
      </w:r>
      <w:r>
        <w:rPr>
          <w:rFonts w:hint="default" w:ascii="Times New Roman" w:hAnsi="Times New Roman" w:eastAsia="仿宋_GB2312" w:cs="Times New Roman"/>
          <w:color w:val="auto"/>
          <w:kern w:val="0"/>
          <w:sz w:val="32"/>
          <w:szCs w:val="32"/>
          <w:shd w:val="clear" w:color="auto" w:fill="FFFFFF"/>
          <w:lang w:val="en-US" w:eastAsia="zh-CN"/>
        </w:rPr>
        <w:t>4</w:t>
      </w:r>
      <w:r>
        <w:rPr>
          <w:rFonts w:hint="default" w:ascii="Times New Roman" w:hAnsi="Times New Roman" w:eastAsia="仿宋_GB2312" w:cs="Times New Roman"/>
          <w:color w:val="auto"/>
          <w:kern w:val="0"/>
          <w:sz w:val="32"/>
          <w:szCs w:val="32"/>
          <w:shd w:val="clear" w:color="auto" w:fill="FFFFFF"/>
        </w:rPr>
        <w:t>次，</w:t>
      </w:r>
      <w:r>
        <w:rPr>
          <w:rFonts w:hint="default" w:ascii="Times New Roman" w:hAnsi="Times New Roman" w:eastAsia="仿宋_GB2312" w:cs="Times New Roman"/>
          <w:color w:val="auto"/>
          <w:kern w:val="0"/>
          <w:sz w:val="32"/>
          <w:szCs w:val="32"/>
          <w:shd w:val="clear" w:color="auto" w:fill="FFFFFF"/>
          <w:lang w:eastAsia="zh-CN"/>
        </w:rPr>
        <w:t>“</w:t>
      </w:r>
      <w:r>
        <w:rPr>
          <w:rFonts w:hint="default" w:ascii="Times New Roman" w:hAnsi="Times New Roman" w:eastAsia="仿宋_GB2312" w:cs="Times New Roman"/>
          <w:color w:val="auto"/>
          <w:kern w:val="0"/>
          <w:sz w:val="32"/>
          <w:szCs w:val="32"/>
          <w:shd w:val="clear" w:color="auto" w:fill="FFFFFF"/>
        </w:rPr>
        <w:t>主题党日</w:t>
      </w:r>
      <w:r>
        <w:rPr>
          <w:rFonts w:hint="default" w:ascii="Times New Roman" w:hAnsi="Times New Roman" w:eastAsia="仿宋_GB2312" w:cs="Times New Roman"/>
          <w:color w:val="auto"/>
          <w:kern w:val="0"/>
          <w:sz w:val="32"/>
          <w:szCs w:val="32"/>
          <w:shd w:val="clear" w:color="auto" w:fill="FFFFFF"/>
          <w:lang w:eastAsia="zh-CN"/>
        </w:rPr>
        <w:t>”</w:t>
      </w:r>
      <w:r>
        <w:rPr>
          <w:rFonts w:hint="default" w:ascii="Times New Roman" w:hAnsi="Times New Roman" w:eastAsia="仿宋_GB2312" w:cs="Times New Roman"/>
          <w:color w:val="auto"/>
          <w:kern w:val="0"/>
          <w:sz w:val="32"/>
          <w:szCs w:val="32"/>
          <w:shd w:val="clear" w:color="auto" w:fill="FFFFFF"/>
          <w:lang w:val="en-US" w:eastAsia="zh-CN"/>
        </w:rPr>
        <w:t>14</w:t>
      </w:r>
      <w:r>
        <w:rPr>
          <w:rFonts w:hint="default" w:ascii="Times New Roman" w:hAnsi="Times New Roman" w:eastAsia="仿宋_GB2312" w:cs="Times New Roman"/>
          <w:color w:val="auto"/>
          <w:kern w:val="0"/>
          <w:sz w:val="32"/>
          <w:szCs w:val="32"/>
          <w:shd w:val="clear" w:color="auto" w:fill="FFFFFF"/>
        </w:rPr>
        <w:t>次，</w:t>
      </w:r>
      <w:r>
        <w:rPr>
          <w:rFonts w:hint="default" w:ascii="Times New Roman" w:hAnsi="Times New Roman" w:eastAsia="方正仿宋_GBK" w:cs="Times New Roman"/>
          <w:color w:val="auto"/>
          <w:kern w:val="0"/>
          <w:sz w:val="32"/>
          <w:szCs w:val="32"/>
          <w:shd w:val="clear" w:color="auto" w:fill="FFFFFF"/>
          <w:lang w:eastAsia="zh-CN"/>
        </w:rPr>
        <w:t>扎实推进</w:t>
      </w:r>
      <w:r>
        <w:rPr>
          <w:rFonts w:hint="default" w:ascii="Times New Roman" w:hAnsi="Times New Roman" w:eastAsia="方正仿宋_GBK" w:cs="Times New Roman"/>
          <w:b w:val="0"/>
          <w:bCs w:val="0"/>
          <w:color w:val="auto"/>
          <w:sz w:val="32"/>
          <w:szCs w:val="32"/>
          <w:lang w:val="en-US" w:eastAsia="zh-CN"/>
        </w:rPr>
        <w:t>“书记项目”“督学考学评学”等工作，持续深化</w:t>
      </w:r>
      <w:r>
        <w:rPr>
          <w:rFonts w:hint="default" w:ascii="Times New Roman" w:hAnsi="Times New Roman" w:eastAsia="方正仿宋_GBK" w:cs="Times New Roman"/>
          <w:b w:val="0"/>
          <w:bCs w:val="0"/>
          <w:color w:val="auto"/>
          <w:sz w:val="32"/>
          <w:szCs w:val="32"/>
        </w:rPr>
        <w:t>党支部规范化建设</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0"/>
          <w:sz w:val="32"/>
          <w:szCs w:val="32"/>
          <w:shd w:val="clear" w:color="auto" w:fill="FFFFFF"/>
        </w:rPr>
        <w:t>三是强化作风建设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认真落实党风廉政建设责任制，</w:t>
      </w:r>
      <w:r>
        <w:rPr>
          <w:rFonts w:hint="default" w:ascii="Times New Roman" w:hAnsi="Times New Roman" w:eastAsia="方正仿宋_GBK" w:cs="Times New Roman"/>
          <w:color w:val="auto"/>
          <w:kern w:val="0"/>
          <w:sz w:val="32"/>
          <w:szCs w:val="32"/>
          <w:shd w:val="clear" w:color="auto" w:fill="FFFFFF"/>
          <w:lang w:eastAsia="zh-CN"/>
        </w:rPr>
        <w:t>扎实开展深入贯彻中央八项规定精神学习教育，</w:t>
      </w:r>
      <w:r>
        <w:rPr>
          <w:rFonts w:hint="default" w:ascii="Times New Roman" w:hAnsi="Times New Roman" w:eastAsia="方正仿宋_GBK" w:cs="Times New Roman"/>
          <w:color w:val="auto"/>
          <w:kern w:val="0"/>
          <w:sz w:val="32"/>
          <w:szCs w:val="32"/>
          <w:shd w:val="clear" w:color="auto" w:fill="FFFFFF"/>
        </w:rPr>
        <w:t>积极开展反腐倡廉教育，认真组织</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小事小节看作风</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季度检视会，强化遵规守纪意识，转变工作作风，提升党员干部的整体形象和精神风貌。</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强化安播保障</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牢固树立安全播出生命线意识，牢牢把握</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字字千钧、秒秒政治、天天考试</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的总要求和</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不间断、高质量、既经济、又安全</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维护方针，坚决扛牢安播责任，认真贯彻广电总局、局</w:t>
      </w:r>
      <w:r>
        <w:rPr>
          <w:rFonts w:hint="default" w:ascii="Times New Roman" w:hAnsi="Times New Roman" w:eastAsia="方正仿宋_GBK" w:cs="Times New Roman"/>
          <w:color w:val="auto"/>
          <w:kern w:val="0"/>
          <w:sz w:val="32"/>
          <w:szCs w:val="32"/>
          <w:shd w:val="clear" w:color="auto" w:fill="FFFFFF"/>
          <w:lang w:eastAsia="zh-CN"/>
        </w:rPr>
        <w:t>党组</w:t>
      </w:r>
      <w:r>
        <w:rPr>
          <w:rFonts w:hint="default" w:ascii="Times New Roman" w:hAnsi="Times New Roman" w:eastAsia="方正仿宋_GBK" w:cs="Times New Roman"/>
          <w:color w:val="auto"/>
          <w:kern w:val="0"/>
          <w:sz w:val="32"/>
          <w:szCs w:val="32"/>
          <w:shd w:val="clear" w:color="auto" w:fill="FFFFFF"/>
        </w:rPr>
        <w:t>有关安全播出工作部署。一是做好运维管理</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严格落实周检、月检、季检、年检制度，确保设备运行稳定、安全可靠。二是加强值班值守</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严格执行</w:t>
      </w:r>
      <w:r>
        <w:rPr>
          <w:rFonts w:hint="default" w:ascii="Times New Roman" w:hAnsi="Times New Roman" w:eastAsia="仿宋_GB2312" w:cs="Times New Roman"/>
          <w:color w:val="auto"/>
          <w:kern w:val="0"/>
          <w:sz w:val="32"/>
          <w:szCs w:val="32"/>
          <w:shd w:val="clear" w:color="auto" w:fill="FFFFFF"/>
        </w:rPr>
        <w:t>24</w:t>
      </w:r>
      <w:r>
        <w:rPr>
          <w:rFonts w:hint="default" w:ascii="Times New Roman" w:hAnsi="Times New Roman" w:eastAsia="方正仿宋_GBK" w:cs="Times New Roman"/>
          <w:color w:val="auto"/>
          <w:kern w:val="0"/>
          <w:sz w:val="32"/>
          <w:szCs w:val="32"/>
          <w:shd w:val="clear" w:color="auto" w:fill="FFFFFF"/>
        </w:rPr>
        <w:t>小时值班值守制度，认真落实领导带班制度，加强对设施设备和传输线路的巡查保护，全力确保广播信号安全播出。三是确保重保期安全</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主动加强与驻地</w:t>
      </w:r>
      <w:r>
        <w:rPr>
          <w:rFonts w:hint="default" w:ascii="Times New Roman" w:hAnsi="Times New Roman" w:eastAsia="方正仿宋_GBK" w:cs="Times New Roman"/>
          <w:color w:val="auto"/>
          <w:kern w:val="0"/>
          <w:sz w:val="32"/>
          <w:szCs w:val="32"/>
          <w:shd w:val="clear" w:color="auto" w:fill="FFFFFF"/>
          <w:lang w:eastAsia="zh-CN"/>
        </w:rPr>
        <w:t>党委、政府</w:t>
      </w:r>
      <w:r>
        <w:rPr>
          <w:rFonts w:hint="default" w:ascii="Times New Roman" w:hAnsi="Times New Roman" w:eastAsia="方正仿宋_GBK" w:cs="Times New Roman"/>
          <w:color w:val="auto"/>
          <w:kern w:val="0"/>
          <w:sz w:val="32"/>
          <w:szCs w:val="32"/>
          <w:shd w:val="clear" w:color="auto" w:fill="FFFFFF"/>
        </w:rPr>
        <w:t>、公安、电力等部门沟通协调，严格执行</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零报告</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制度，及时启动应急预案，确保春节、全国两会、</w:t>
      </w:r>
      <w:r>
        <w:rPr>
          <w:rFonts w:hint="default" w:ascii="Times New Roman" w:hAnsi="Times New Roman" w:eastAsia="方正仿宋_GBK" w:cs="Times New Roman"/>
          <w:color w:val="auto"/>
          <w:kern w:val="0"/>
          <w:sz w:val="32"/>
          <w:szCs w:val="32"/>
          <w:shd w:val="clear" w:color="auto" w:fill="FFFFFF"/>
          <w:lang w:eastAsia="zh-CN"/>
        </w:rPr>
        <w:t>纪念</w:t>
      </w:r>
      <w:r>
        <w:rPr>
          <w:rFonts w:hint="default" w:ascii="Times New Roman" w:hAnsi="Times New Roman" w:eastAsia="方正仿宋_GBK" w:cs="Times New Roman"/>
          <w:sz w:val="32"/>
          <w:szCs w:val="32"/>
          <w:lang w:val="en-US" w:eastAsia="zh-CN"/>
        </w:rPr>
        <w:t>中国人民抗日战争暨世界反法西斯战争胜利</w:t>
      </w:r>
      <w:r>
        <w:rPr>
          <w:rFonts w:hint="default" w:ascii="Times New Roman" w:hAnsi="Times New Roman" w:eastAsia="仿宋_GB2312" w:cs="Times New Roman"/>
          <w:sz w:val="32"/>
          <w:szCs w:val="32"/>
          <w:lang w:val="en-US" w:eastAsia="zh-CN"/>
        </w:rPr>
        <w:t>80</w:t>
      </w:r>
      <w:r>
        <w:rPr>
          <w:rFonts w:hint="default" w:ascii="Times New Roman" w:hAnsi="Times New Roman" w:eastAsia="方正仿宋_GBK" w:cs="Times New Roman"/>
          <w:sz w:val="32"/>
          <w:szCs w:val="32"/>
          <w:lang w:val="en-US" w:eastAsia="zh-CN"/>
        </w:rPr>
        <w:t>周年</w:t>
      </w:r>
      <w:r>
        <w:rPr>
          <w:rFonts w:hint="default" w:ascii="Times New Roman" w:hAnsi="Times New Roman" w:eastAsia="方正仿宋_GBK" w:cs="Times New Roman"/>
          <w:color w:val="auto"/>
          <w:kern w:val="0"/>
          <w:sz w:val="32"/>
          <w:szCs w:val="32"/>
          <w:shd w:val="clear" w:color="auto" w:fill="FFFFFF"/>
        </w:rPr>
        <w:t>等重保期安全播出，圆满完成全年安播保障任务。</w:t>
      </w:r>
    </w:p>
    <w:p>
      <w:pPr>
        <w:widowControl/>
        <w:numPr>
          <w:ilvl w:val="0"/>
          <w:numId w:val="0"/>
        </w:numPr>
        <w:shd w:val="clear" w:color="auto" w:fill="FFFFFF"/>
        <w:spacing w:line="570" w:lineRule="atLeast"/>
        <w:ind w:left="640" w:left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lang w:val="en-US" w:eastAsia="zh-CN"/>
        </w:rPr>
        <w:t>三</w:t>
      </w: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rPr>
        <w:t>深化规范管理</w:t>
      </w:r>
    </w:p>
    <w:p>
      <w:pPr>
        <w:spacing w:line="600" w:lineRule="exact"/>
        <w:ind w:firstLine="640" w:firstLineChars="200"/>
        <w:jc w:val="left"/>
        <w:rPr>
          <w:rFonts w:hint="default" w:ascii="Times New Roman" w:hAnsi="Times New Roman" w:eastAsia="仿宋_GB2312" w:cs="Times New Roman"/>
          <w:color w:val="FF0000"/>
          <w:kern w:val="0"/>
          <w:sz w:val="30"/>
          <w:szCs w:val="30"/>
          <w:highlight w:val="none"/>
          <w:lang w:val="en-US" w:eastAsia="zh-CN"/>
        </w:rPr>
      </w:pPr>
      <w:r>
        <w:rPr>
          <w:rFonts w:hint="default" w:ascii="Times New Roman" w:hAnsi="Times New Roman" w:eastAsia="方正仿宋_GBK" w:cs="Times New Roman"/>
          <w:color w:val="auto"/>
          <w:kern w:val="0"/>
          <w:sz w:val="32"/>
          <w:szCs w:val="32"/>
          <w:shd w:val="clear" w:color="auto" w:fill="FFFFFF"/>
        </w:rPr>
        <w:t>一是围绕</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心怀感恩、忠于职守、重视学习、规范管理、增强活力</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的要求，深化</w:t>
      </w:r>
      <w:r>
        <w:rPr>
          <w:rFonts w:hint="default" w:ascii="Times New Roman" w:hAnsi="Times New Roman" w:eastAsia="方正仿宋_GBK" w:cs="Times New Roman"/>
          <w:color w:val="auto"/>
          <w:kern w:val="0"/>
          <w:sz w:val="32"/>
          <w:szCs w:val="32"/>
          <w:shd w:val="clear" w:color="auto" w:fill="FFFFFF"/>
          <w:lang w:eastAsia="zh-CN"/>
        </w:rPr>
        <w:t>作风革命效能革命</w:t>
      </w:r>
      <w:r>
        <w:rPr>
          <w:rFonts w:hint="default" w:ascii="Times New Roman" w:hAnsi="Times New Roman" w:eastAsia="方正仿宋_GBK" w:cs="Times New Roman"/>
          <w:color w:val="auto"/>
          <w:kern w:val="0"/>
          <w:sz w:val="32"/>
          <w:szCs w:val="32"/>
          <w:shd w:val="clear" w:color="auto" w:fill="FFFFFF"/>
        </w:rPr>
        <w:t>，严格内控管理制度执行，加强财务风险防控，规范</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三重一大</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议事决策程序，严控议事决策、政府采购、公务接待、公车使用等关键环节，持续提升规范化管理水平。二是以干部队伍能力建设为核心，坚持</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以人为本，人才兴台</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理念，常态化开展学习教育、业务培训和实操演练，不断提高台站干部队伍的综合素质、业务水平和应急处突能力，</w:t>
      </w:r>
      <w:r>
        <w:rPr>
          <w:rFonts w:hint="default" w:ascii="Times New Roman" w:hAnsi="Times New Roman" w:eastAsia="方正仿宋_GBK" w:cs="Times New Roman"/>
          <w:color w:val="auto"/>
          <w:kern w:val="0"/>
          <w:sz w:val="32"/>
          <w:szCs w:val="32"/>
          <w:shd w:val="clear" w:color="auto" w:fill="FFFFFF"/>
          <w:lang w:val="en-US" w:eastAsia="zh-CN"/>
        </w:rPr>
        <w:t>为</w:t>
      </w:r>
      <w:r>
        <w:rPr>
          <w:rFonts w:hint="default" w:ascii="Times New Roman" w:hAnsi="Times New Roman" w:eastAsia="方正仿宋_GBK" w:cs="Times New Roman"/>
          <w:color w:val="auto"/>
          <w:kern w:val="0"/>
          <w:sz w:val="32"/>
          <w:szCs w:val="32"/>
          <w:shd w:val="clear" w:color="auto" w:fill="FFFFFF"/>
        </w:rPr>
        <w:t>台站事业发展</w:t>
      </w:r>
      <w:r>
        <w:rPr>
          <w:rFonts w:hint="default" w:ascii="Times New Roman" w:hAnsi="Times New Roman" w:eastAsia="方正仿宋_GBK" w:cs="Times New Roman"/>
          <w:color w:val="auto"/>
          <w:kern w:val="0"/>
          <w:sz w:val="32"/>
          <w:szCs w:val="32"/>
          <w:shd w:val="clear" w:color="auto" w:fill="FFFFFF"/>
          <w:lang w:val="en-US" w:eastAsia="zh-CN"/>
        </w:rPr>
        <w:t>提供坚实的人才保障</w:t>
      </w:r>
      <w:r>
        <w:rPr>
          <w:rFonts w:ascii="Times New Roman" w:hAnsi="Times New Roman" w:eastAsia="方正仿宋_GBK" w:cs="Times New Roman"/>
          <w:color w:val="auto"/>
          <w:kern w:val="0"/>
          <w:sz w:val="32"/>
          <w:szCs w:val="32"/>
          <w:shd w:val="clear" w:color="auto" w:fill="FFFFFF"/>
        </w:rPr>
        <w:t>。</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keepNext w:val="0"/>
        <w:keepLines w:val="0"/>
        <w:pageBreakBefore w:val="0"/>
        <w:widowControl/>
        <w:kinsoku/>
        <w:overflowPunct/>
        <w:topLinePunct w:val="0"/>
        <w:bidi w:val="0"/>
        <w:snapToGrid w:val="0"/>
        <w:spacing w:line="560" w:lineRule="exact"/>
        <w:ind w:left="0"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云南省广播电视局贡山中波台202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年度没有政府性基金收入，也没有使用政府性基金安排的支出，《政府性基金预算财政拨款收入支出决算表》为空表。云南省广播电视局贡山中波台</w:t>
      </w:r>
      <w:r>
        <w:rPr>
          <w:rFonts w:hint="default" w:ascii="Times New Roman" w:hAnsi="Times New Roman" w:eastAsia="仿宋_GB2312" w:cs="Times New Roman"/>
          <w:sz w:val="30"/>
          <w:szCs w:val="30"/>
          <w:highlight w:val="none"/>
          <w:lang w:val="en-US" w:eastAsia="zh-CN"/>
        </w:rPr>
        <w:t>2025年</w:t>
      </w:r>
      <w:r>
        <w:rPr>
          <w:rFonts w:hint="default" w:ascii="Times New Roman" w:hAnsi="Times New Roman" w:eastAsia="仿宋_GB2312" w:cs="Times New Roman"/>
          <w:kern w:val="0"/>
          <w:sz w:val="30"/>
          <w:szCs w:val="30"/>
          <w:highlight w:val="none"/>
          <w:lang w:val="en-US" w:eastAsia="zh-CN"/>
        </w:rPr>
        <w:t>没有</w:t>
      </w:r>
      <w:r>
        <w:rPr>
          <w:rFonts w:hint="default" w:ascii="Times New Roman" w:hAnsi="Times New Roman" w:eastAsia="仿宋_GB2312" w:cs="Times New Roman"/>
          <w:kern w:val="0"/>
          <w:sz w:val="30"/>
          <w:szCs w:val="30"/>
          <w:highlight w:val="none"/>
          <w:lang w:val="en-US"/>
        </w:rPr>
        <w:t>国有资本经营预算财政拨款收入，也没有使用国有资本经营预算财政拨款安排的支出</w:t>
      </w:r>
      <w:r>
        <w:rPr>
          <w:rFonts w:hint="default" w:ascii="Times New Roman" w:hAnsi="Times New Roman" w:eastAsia="仿宋_GB2312" w:cs="Times New Roman"/>
          <w:kern w:val="0"/>
          <w:sz w:val="30"/>
          <w:szCs w:val="30"/>
          <w:highlight w:val="none"/>
          <w:lang w:val="en-US" w:eastAsia="zh-CN"/>
        </w:rPr>
        <w:t>，故</w:t>
      </w:r>
      <w:r>
        <w:rPr>
          <w:rFonts w:hint="default" w:ascii="Times New Roman" w:hAnsi="Times New Roman" w:eastAsia="仿宋_GB2312" w:cs="Times New Roman"/>
          <w:kern w:val="0"/>
          <w:sz w:val="30"/>
          <w:szCs w:val="30"/>
          <w:highlight w:val="none"/>
          <w:lang w:val="en-US"/>
        </w:rPr>
        <w:t>《国有资本经营预算财政拨款收入支出决算表》</w:t>
      </w:r>
      <w:r>
        <w:rPr>
          <w:rFonts w:hint="default" w:ascii="Times New Roman" w:hAnsi="Times New Roman" w:eastAsia="仿宋_GB2312" w:cs="Times New Roman"/>
          <w:kern w:val="0"/>
          <w:sz w:val="30"/>
          <w:szCs w:val="30"/>
          <w:highlight w:val="none"/>
          <w:lang w:val="en-US" w:eastAsia="zh-CN"/>
        </w:rPr>
        <w:t>为空表</w:t>
      </w:r>
      <w:r>
        <w:rPr>
          <w:rFonts w:hint="default" w:ascii="Times New Roman" w:hAnsi="Times New Roman" w:eastAsia="仿宋_GB2312" w:cs="Times New Roman"/>
          <w:kern w:val="0"/>
          <w:sz w:val="30"/>
          <w:szCs w:val="30"/>
          <w:highlight w:val="none"/>
          <w:lang w:val="en-US"/>
        </w:rPr>
        <w:t>。</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2182898.86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2182898.86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上级补助收入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事业收入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经营收入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附属单位</w:t>
      </w:r>
      <w:r>
        <w:rPr>
          <w:rFonts w:hint="default" w:ascii="Times New Roman" w:hAnsi="Times New Roman" w:eastAsia="仿宋_GB2312" w:cs="Times New Roman"/>
          <w:sz w:val="30"/>
          <w:szCs w:val="30"/>
          <w:highlight w:val="none"/>
          <w:lang w:eastAsia="zh-CN"/>
        </w:rPr>
        <w:t>上缴</w:t>
      </w:r>
      <w:r>
        <w:rPr>
          <w:rFonts w:hint="default" w:ascii="Times New Roman" w:hAnsi="Times New Roman" w:eastAsia="仿宋_GB2312" w:cs="Times New Roman"/>
          <w:sz w:val="30"/>
          <w:szCs w:val="30"/>
          <w:highlight w:val="none"/>
        </w:rPr>
        <w:t>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其他收入。</w:t>
      </w:r>
    </w:p>
    <w:p>
      <w:pPr>
        <w:widowControl/>
        <w:snapToGrid w:val="0"/>
        <w:spacing w:before="100" w:after="100" w:line="600" w:lineRule="exact"/>
        <w:ind w:firstLine="538"/>
        <w:jc w:val="left"/>
        <w:rPr>
          <w:rFonts w:hint="default" w:ascii="Times New Roman" w:hAnsi="Times New Roman" w:eastAsia="仿宋_GB2312" w:cs="Times New Roman"/>
          <w:color w:val="FF0000"/>
          <w:kern w:val="0"/>
          <w:sz w:val="30"/>
          <w:szCs w:val="30"/>
          <w:highlight w:val="none"/>
          <w:lang w:eastAsia="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90872.97</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4.34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90872.97</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4.34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主要原因是</w:t>
      </w:r>
      <w:r>
        <w:rPr>
          <w:rFonts w:hint="default" w:ascii="Times New Roman" w:hAnsi="Times New Roman" w:eastAsia="仿宋_GB2312" w:cs="Times New Roman"/>
          <w:sz w:val="30"/>
          <w:szCs w:val="30"/>
          <w:highlight w:val="none"/>
          <w:lang w:val="en-US" w:eastAsia="zh-CN"/>
        </w:rPr>
        <w:t>在职</w:t>
      </w:r>
      <w:r>
        <w:rPr>
          <w:rFonts w:hint="default" w:ascii="Times New Roman" w:hAnsi="Times New Roman" w:eastAsia="仿宋_GB2312" w:cs="Times New Roman"/>
          <w:sz w:val="30"/>
          <w:szCs w:val="30"/>
          <w:highlight w:val="none"/>
        </w:rPr>
        <w:t>人员</w:t>
      </w:r>
      <w:r>
        <w:rPr>
          <w:rFonts w:hint="default" w:ascii="Times New Roman" w:hAnsi="Times New Roman" w:eastAsia="仿宋_GB2312" w:cs="Times New Roman"/>
          <w:sz w:val="30"/>
          <w:szCs w:val="30"/>
          <w:highlight w:val="none"/>
          <w:lang w:val="en-US" w:eastAsia="zh-CN"/>
        </w:rPr>
        <w:t>工资</w:t>
      </w:r>
      <w:r>
        <w:rPr>
          <w:rFonts w:hint="default" w:ascii="Times New Roman" w:hAnsi="Times New Roman" w:eastAsia="仿宋_GB2312" w:cs="Times New Roman"/>
          <w:sz w:val="30"/>
          <w:szCs w:val="30"/>
          <w:highlight w:val="none"/>
        </w:rPr>
        <w:t>变动引起的人员经费、公用经费预算收入</w:t>
      </w:r>
      <w:r>
        <w:rPr>
          <w:rFonts w:hint="default" w:ascii="Times New Roman" w:hAnsi="Times New Roman" w:eastAsia="仿宋_GB2312" w:cs="Times New Roman"/>
          <w:sz w:val="30"/>
          <w:szCs w:val="30"/>
          <w:highlight w:val="none"/>
          <w:lang w:val="en-US" w:eastAsia="zh-CN"/>
        </w:rPr>
        <w:t>增加</w:t>
      </w:r>
      <w:r>
        <w:rPr>
          <w:rFonts w:hint="default" w:ascii="Times New Roman" w:hAnsi="Times New Roman" w:eastAsia="仿宋_GB2312" w:cs="Times New Roman"/>
          <w:sz w:val="30"/>
          <w:szCs w:val="30"/>
          <w:highlight w:val="none"/>
        </w:rPr>
        <w:t>，属于合理范围内的正常变动。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p>
    <w:p>
      <w:pPr>
        <w:spacing w:line="600" w:lineRule="exact"/>
        <w:ind w:firstLine="600" w:firstLineChars="200"/>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2182912.36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2120772.37</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97.15</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62139.99</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2.85</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无</w:t>
      </w:r>
      <w:r>
        <w:rPr>
          <w:rFonts w:hint="default" w:ascii="Times New Roman" w:hAnsi="Times New Roman" w:eastAsia="仿宋_GB2312" w:cs="Times New Roman"/>
          <w:kern w:val="0"/>
          <w:sz w:val="30"/>
          <w:szCs w:val="30"/>
          <w:highlight w:val="none"/>
        </w:rPr>
        <w:t>上缴上级支出</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kern w:val="0"/>
          <w:sz w:val="30"/>
          <w:szCs w:val="30"/>
          <w:highlight w:val="none"/>
        </w:rPr>
        <w:t>经营支出</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kern w:val="0"/>
          <w:sz w:val="30"/>
          <w:szCs w:val="30"/>
          <w:highlight w:val="none"/>
        </w:rPr>
        <w:t>对附属单位补助支出。</w:t>
      </w:r>
    </w:p>
    <w:p>
      <w:pPr>
        <w:widowControl/>
        <w:snapToGrid w:val="0"/>
        <w:spacing w:before="100" w:after="100" w:line="600" w:lineRule="exact"/>
        <w:ind w:firstLine="538"/>
        <w:jc w:val="left"/>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90442.44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4.32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90502.45</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4.46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60.01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0.10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sz w:val="30"/>
          <w:szCs w:val="30"/>
          <w:highlight w:val="none"/>
          <w:lang w:val="en-US" w:eastAsia="zh-CN"/>
        </w:rPr>
        <w:t>的</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lang w:val="en-US" w:eastAsia="zh-CN"/>
        </w:rPr>
        <w:t>2025年</w:t>
      </w:r>
      <w:r>
        <w:rPr>
          <w:rFonts w:hint="default" w:ascii="Times New Roman" w:hAnsi="Times New Roman" w:eastAsia="仿宋_GB2312" w:cs="Times New Roman"/>
          <w:sz w:val="30"/>
          <w:szCs w:val="30"/>
          <w:highlight w:val="none"/>
          <w:lang w:eastAsia="zh-CN"/>
        </w:rPr>
        <w:t>在职人员基本工资调标及补发，正常增加人员经费支出，属于合理范围内的变动</w:t>
      </w:r>
      <w:r>
        <w:rPr>
          <w:rFonts w:hint="default" w:ascii="Times New Roman" w:hAnsi="Times New Roman" w:eastAsia="仿宋_GB2312" w:cs="Times New Roman"/>
          <w:sz w:val="30"/>
          <w:szCs w:val="30"/>
          <w:highlight w:val="none"/>
          <w:lang w:val="en-US" w:eastAsia="zh-CN"/>
        </w:rPr>
        <w:t>；项目支出减少的主要原因</w:t>
      </w:r>
      <w:r>
        <w:rPr>
          <w:rFonts w:hint="default" w:ascii="Times New Roman" w:hAnsi="Times New Roman" w:eastAsia="仿宋_GB2312" w:cs="Times New Roman"/>
          <w:color w:val="auto"/>
          <w:sz w:val="30"/>
          <w:szCs w:val="30"/>
          <w:highlight w:val="none"/>
          <w:lang w:val="en-US" w:eastAsia="zh-CN"/>
        </w:rPr>
        <w:t>是2025年项目支出</w:t>
      </w:r>
      <w:r>
        <w:rPr>
          <w:rFonts w:hint="default" w:ascii="Times New Roman" w:hAnsi="Times New Roman" w:eastAsia="仿宋_GB2312" w:cs="Times New Roman"/>
          <w:sz w:val="30"/>
          <w:szCs w:val="30"/>
          <w:highlight w:val="none"/>
          <w:lang w:eastAsia="zh-CN"/>
        </w:rPr>
        <w:t>预算未全额执行，</w:t>
      </w:r>
      <w:r>
        <w:rPr>
          <w:rFonts w:hint="default" w:ascii="Times New Roman" w:hAnsi="Times New Roman" w:eastAsia="仿宋_GB2312" w:cs="Times New Roman"/>
          <w:color w:val="auto"/>
          <w:sz w:val="30"/>
          <w:szCs w:val="30"/>
          <w:highlight w:val="none"/>
          <w:lang w:val="en-US" w:eastAsia="zh-CN"/>
        </w:rPr>
        <w:t>有60.01元未支出（年末财政已收回），导致项目支出较上年有所减少。</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600" w:firstLineChars="200"/>
        <w:jc w:val="left"/>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2120772.37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1973320.89</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93.05</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147451.48</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6.95</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2025年</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人均</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公用经费支出13404.68元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rPr>
        <w:t>为完成特定的事业发展目标，用于专项业务工作的经费支出</w:t>
      </w:r>
      <w:r>
        <w:rPr>
          <w:rFonts w:hint="default" w:ascii="Times New Roman" w:hAnsi="Times New Roman" w:eastAsia="仿宋_GB2312" w:cs="Times New Roman"/>
          <w:color w:val="auto"/>
          <w:sz w:val="30"/>
          <w:lang w:val="zh-CN"/>
        </w:rPr>
        <w:t>62139.99</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p>
    <w:p>
      <w:pPr>
        <w:widowControl/>
        <w:wordWrap w:val="0"/>
        <w:snapToGrid w:val="0"/>
        <w:spacing w:before="100" w:after="100" w:line="600" w:lineRule="exact"/>
        <w:ind w:firstLine="600" w:firstLineChars="200"/>
        <w:jc w:val="left"/>
        <w:rPr>
          <w:rFonts w:hint="default" w:ascii="Times New Roman" w:hAnsi="Times New Roman" w:eastAsia="仿宋_GB2312" w:cs="Times New Roman"/>
          <w:b w:val="0"/>
          <w:color w:val="FF0000"/>
          <w:sz w:val="30"/>
          <w:szCs w:val="24"/>
          <w:highlight w:val="none"/>
          <w:lang w:val="zh-CN"/>
        </w:rPr>
      </w:pPr>
      <w:r>
        <w:rPr>
          <w:rFonts w:hint="default" w:ascii="Times New Roman" w:hAnsi="Times New Roman" w:eastAsia="仿宋_GB2312" w:cs="Times New Roman"/>
          <w:b w:val="0"/>
          <w:color w:val="auto"/>
          <w:kern w:val="2"/>
          <w:sz w:val="30"/>
          <w:szCs w:val="24"/>
          <w:highlight w:val="none"/>
          <w:lang w:val="zh-CN" w:eastAsia="zh-CN" w:bidi="ar-SA"/>
        </w:rPr>
        <w:t>中央补助地方公共文化服务体系建设（无线覆盖模拟运维费）专项资金项目经费</w:t>
      </w:r>
      <w:r>
        <w:rPr>
          <w:rFonts w:hint="default" w:ascii="Times New Roman" w:hAnsi="Times New Roman" w:eastAsia="仿宋_GB2312" w:cs="Times New Roman"/>
          <w:b w:val="0"/>
          <w:color w:val="auto"/>
          <w:sz w:val="30"/>
          <w:lang w:val="zh-CN"/>
        </w:rPr>
        <w:t>62139.99</w:t>
      </w:r>
      <w:r>
        <w:rPr>
          <w:rFonts w:hint="default" w:ascii="Times New Roman" w:hAnsi="Times New Roman" w:eastAsia="仿宋_GB2312" w:cs="Times New Roman"/>
          <w:b w:val="0"/>
          <w:color w:val="auto"/>
          <w:kern w:val="2"/>
          <w:sz w:val="30"/>
          <w:szCs w:val="24"/>
          <w:highlight w:val="none"/>
          <w:lang w:val="zh-CN" w:eastAsia="zh-CN" w:bidi="ar-SA"/>
        </w:rPr>
        <w:t>元，主要用于发射机及附属系统的日常运行维护支出。</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2182912.36</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增加</w:t>
      </w:r>
      <w:r>
        <w:rPr>
          <w:rFonts w:hint="default" w:ascii="Times New Roman" w:hAnsi="Times New Roman" w:eastAsia="仿宋_GB2312" w:cs="Times New Roman"/>
          <w:color w:val="auto"/>
          <w:kern w:val="0"/>
          <w:sz w:val="30"/>
          <w:lang w:val="zh-CN"/>
        </w:rPr>
        <w:t>90442.44</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4.32</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108.69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1696750.47</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77.73</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110.31</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主要用于云南省广播电视局贡山中波台人员工资福利</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商品和服务支出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202</w:t>
      </w:r>
      <w:r>
        <w:rPr>
          <w:rFonts w:hint="default" w:ascii="Times New Roman" w:hAnsi="Times New Roman" w:eastAsia="仿宋_GB2312" w:cs="Times New Roman"/>
          <w:kern w:val="0"/>
          <w:sz w:val="30"/>
          <w:szCs w:val="30"/>
          <w:highlight w:val="none"/>
          <w:lang w:val="en-US" w:eastAsia="zh-CN"/>
        </w:rPr>
        <w:t>5</w:t>
      </w:r>
      <w:r>
        <w:rPr>
          <w:rFonts w:hint="default" w:ascii="Times New Roman" w:hAnsi="Times New Roman" w:eastAsia="仿宋_GB2312" w:cs="Times New Roman"/>
          <w:kern w:val="0"/>
          <w:sz w:val="30"/>
          <w:szCs w:val="30"/>
          <w:highlight w:val="none"/>
        </w:rPr>
        <w:t>年中央补助地方公共文化服务体系建设（无线覆盖模拟运维费）专项资金支出</w:t>
      </w:r>
      <w:r>
        <w:rPr>
          <w:rFonts w:hint="default" w:ascii="Times New Roman" w:hAnsi="Times New Roman" w:eastAsia="仿宋_GB2312" w:cs="Times New Roman"/>
          <w:color w:val="auto"/>
          <w:kern w:val="0"/>
          <w:sz w:val="30"/>
          <w:szCs w:val="30"/>
          <w:highlight w:val="none"/>
        </w:rPr>
        <w:t>；</w:t>
      </w:r>
      <w:r>
        <w:rPr>
          <w:rFonts w:hint="default" w:ascii="Times New Roman" w:hAnsi="Times New Roman" w:eastAsia="仿宋_GB2312" w:cs="Times New Roman"/>
          <w:kern w:val="0"/>
          <w:sz w:val="30"/>
          <w:szCs w:val="30"/>
          <w:highlight w:val="none"/>
          <w:lang w:eastAsia="zh-CN"/>
        </w:rPr>
        <w:t>造成预决算差异的主要原因是</w:t>
      </w:r>
      <w:r>
        <w:rPr>
          <w:rFonts w:hint="default" w:ascii="Times New Roman" w:hAnsi="Times New Roman" w:eastAsia="仿宋_GB2312" w:cs="Times New Roman"/>
          <w:kern w:val="0"/>
          <w:sz w:val="30"/>
          <w:szCs w:val="30"/>
          <w:highlight w:val="none"/>
          <w:lang w:val="en-US" w:eastAsia="zh-CN"/>
        </w:rPr>
        <w:t>在职</w:t>
      </w:r>
      <w:r>
        <w:rPr>
          <w:rFonts w:hint="default" w:ascii="Times New Roman" w:hAnsi="Times New Roman" w:eastAsia="仿宋_GB2312" w:cs="Times New Roman"/>
          <w:kern w:val="0"/>
          <w:sz w:val="30"/>
          <w:szCs w:val="30"/>
          <w:highlight w:val="none"/>
        </w:rPr>
        <w:t>人员</w:t>
      </w:r>
      <w:r>
        <w:rPr>
          <w:rFonts w:hint="default" w:ascii="Times New Roman" w:hAnsi="Times New Roman" w:eastAsia="仿宋_GB2312" w:cs="Times New Roman"/>
          <w:kern w:val="0"/>
          <w:sz w:val="30"/>
          <w:szCs w:val="30"/>
          <w:highlight w:val="none"/>
          <w:lang w:val="en-US" w:eastAsia="zh-CN"/>
        </w:rPr>
        <w:t>工资</w:t>
      </w:r>
      <w:r>
        <w:rPr>
          <w:rFonts w:hint="default" w:ascii="Times New Roman" w:hAnsi="Times New Roman" w:eastAsia="仿宋_GB2312" w:cs="Times New Roman"/>
          <w:kern w:val="0"/>
          <w:sz w:val="30"/>
          <w:szCs w:val="30"/>
          <w:highlight w:val="none"/>
        </w:rPr>
        <w:t>变动引起的人员经费、商品和服务支出增加，属于合理范围内的正常变动</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202538.16</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9.28</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103.30</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主要用于云南省广播电视局贡山中波台</w:t>
      </w:r>
      <w:r>
        <w:rPr>
          <w:rFonts w:hint="default" w:ascii="Times New Roman" w:hAnsi="Times New Roman" w:eastAsia="仿宋_GB2312" w:cs="Times New Roman"/>
          <w:kern w:val="0"/>
          <w:sz w:val="30"/>
          <w:szCs w:val="30"/>
          <w:highlight w:val="none"/>
          <w:lang w:val="en-US" w:eastAsia="zh-CN"/>
        </w:rPr>
        <w:t>在职人员</w:t>
      </w:r>
      <w:r>
        <w:rPr>
          <w:rFonts w:hint="default" w:ascii="Times New Roman" w:hAnsi="Times New Roman" w:eastAsia="仿宋_GB2312" w:cs="Times New Roman"/>
          <w:kern w:val="0"/>
          <w:sz w:val="30"/>
          <w:szCs w:val="30"/>
          <w:highlight w:val="none"/>
        </w:rPr>
        <w:t>养老保险等社保支出；</w:t>
      </w:r>
      <w:r>
        <w:rPr>
          <w:rFonts w:hint="default" w:ascii="Times New Roman" w:hAnsi="Times New Roman" w:eastAsia="仿宋_GB2312" w:cs="Times New Roman"/>
          <w:kern w:val="0"/>
          <w:sz w:val="30"/>
          <w:szCs w:val="30"/>
          <w:highlight w:val="none"/>
          <w:lang w:eastAsia="zh-CN"/>
        </w:rPr>
        <w:t>造成预决算差异的主要原因是</w:t>
      </w:r>
      <w:r>
        <w:rPr>
          <w:rFonts w:hint="default" w:ascii="Times New Roman" w:hAnsi="Times New Roman" w:eastAsia="仿宋_GB2312" w:cs="Times New Roman"/>
          <w:kern w:val="0"/>
          <w:sz w:val="30"/>
          <w:szCs w:val="30"/>
          <w:highlight w:val="none"/>
          <w:lang w:val="en-US" w:eastAsia="zh-CN"/>
        </w:rPr>
        <w:t>在职</w:t>
      </w:r>
      <w:r>
        <w:rPr>
          <w:rFonts w:hint="default" w:ascii="Times New Roman" w:hAnsi="Times New Roman" w:eastAsia="仿宋_GB2312" w:cs="Times New Roman"/>
          <w:kern w:val="0"/>
          <w:sz w:val="30"/>
          <w:szCs w:val="30"/>
          <w:highlight w:val="none"/>
        </w:rPr>
        <w:t>人员</w:t>
      </w:r>
      <w:r>
        <w:rPr>
          <w:rFonts w:hint="default" w:ascii="Times New Roman" w:hAnsi="Times New Roman" w:eastAsia="仿宋_GB2312" w:cs="Times New Roman"/>
          <w:kern w:val="0"/>
          <w:sz w:val="30"/>
          <w:szCs w:val="30"/>
          <w:highlight w:val="none"/>
          <w:lang w:val="en-US" w:eastAsia="zh-CN"/>
        </w:rPr>
        <w:t>基本工资</w:t>
      </w:r>
      <w:r>
        <w:rPr>
          <w:rFonts w:hint="default" w:ascii="Times New Roman" w:hAnsi="Times New Roman" w:eastAsia="仿宋_GB2312" w:cs="Times New Roman"/>
          <w:kern w:val="0"/>
          <w:sz w:val="30"/>
          <w:szCs w:val="30"/>
          <w:highlight w:val="none"/>
        </w:rPr>
        <w:t>变动引起的社保支出变动，属于合理范围内的正常变动</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136886.73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6.27</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98.83</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主要用于云南省广播电视局贡山中波台</w:t>
      </w:r>
      <w:r>
        <w:rPr>
          <w:rFonts w:hint="default" w:ascii="Times New Roman" w:hAnsi="Times New Roman" w:eastAsia="仿宋_GB2312" w:cs="Times New Roman"/>
          <w:kern w:val="0"/>
          <w:sz w:val="30"/>
          <w:szCs w:val="30"/>
          <w:highlight w:val="none"/>
          <w:lang w:val="en-US" w:eastAsia="zh-CN"/>
        </w:rPr>
        <w:t>在职及退休</w:t>
      </w:r>
      <w:r>
        <w:rPr>
          <w:rFonts w:hint="default" w:ascii="Times New Roman" w:hAnsi="Times New Roman" w:eastAsia="仿宋_GB2312" w:cs="Times New Roman"/>
          <w:kern w:val="0"/>
          <w:sz w:val="30"/>
          <w:szCs w:val="30"/>
          <w:highlight w:val="none"/>
        </w:rPr>
        <w:t>人员医疗社保支出；</w:t>
      </w:r>
      <w:r>
        <w:rPr>
          <w:rFonts w:hint="default" w:ascii="Times New Roman" w:hAnsi="Times New Roman" w:eastAsia="仿宋_GB2312" w:cs="Times New Roman"/>
          <w:kern w:val="0"/>
          <w:sz w:val="30"/>
          <w:szCs w:val="30"/>
          <w:highlight w:val="none"/>
          <w:lang w:eastAsia="zh-CN"/>
        </w:rPr>
        <w:t>造成预决算差异的主要原因是</w:t>
      </w:r>
      <w:r>
        <w:rPr>
          <w:rFonts w:hint="default" w:ascii="Times New Roman" w:hAnsi="Times New Roman" w:eastAsia="仿宋_GB2312" w:cs="Times New Roman"/>
          <w:kern w:val="0"/>
          <w:sz w:val="30"/>
          <w:szCs w:val="30"/>
          <w:highlight w:val="none"/>
        </w:rPr>
        <w:t>人员</w:t>
      </w:r>
      <w:r>
        <w:rPr>
          <w:rFonts w:hint="default" w:ascii="Times New Roman" w:hAnsi="Times New Roman" w:eastAsia="仿宋_GB2312" w:cs="Times New Roman"/>
          <w:kern w:val="0"/>
          <w:sz w:val="30"/>
          <w:szCs w:val="30"/>
          <w:highlight w:val="none"/>
          <w:lang w:val="en-US" w:eastAsia="zh-CN"/>
        </w:rPr>
        <w:t>工资</w:t>
      </w:r>
      <w:r>
        <w:rPr>
          <w:rFonts w:hint="default" w:ascii="Times New Roman" w:hAnsi="Times New Roman" w:eastAsia="仿宋_GB2312" w:cs="Times New Roman"/>
          <w:kern w:val="0"/>
          <w:sz w:val="30"/>
          <w:szCs w:val="30"/>
          <w:highlight w:val="none"/>
        </w:rPr>
        <w:t>变动引起的医疗保险支出变动</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属于合理范围内的正常变动</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146737.00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6.72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108.29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主要用于云南省广播电视局贡山中波台</w:t>
      </w:r>
      <w:r>
        <w:rPr>
          <w:rFonts w:hint="default" w:ascii="Times New Roman" w:hAnsi="Times New Roman" w:eastAsia="仿宋_GB2312" w:cs="Times New Roman"/>
          <w:kern w:val="0"/>
          <w:sz w:val="30"/>
          <w:szCs w:val="30"/>
          <w:highlight w:val="none"/>
          <w:lang w:val="en-US" w:eastAsia="zh-CN"/>
        </w:rPr>
        <w:t>在职人员</w:t>
      </w:r>
      <w:r>
        <w:rPr>
          <w:rFonts w:hint="default" w:ascii="Times New Roman" w:hAnsi="Times New Roman" w:eastAsia="仿宋_GB2312" w:cs="Times New Roman"/>
          <w:kern w:val="0"/>
          <w:sz w:val="30"/>
          <w:szCs w:val="30"/>
          <w:highlight w:val="none"/>
        </w:rPr>
        <w:t>住房公积金支出；</w:t>
      </w:r>
      <w:r>
        <w:rPr>
          <w:rFonts w:hint="default" w:ascii="Times New Roman" w:hAnsi="Times New Roman" w:eastAsia="仿宋_GB2312" w:cs="Times New Roman"/>
          <w:kern w:val="0"/>
          <w:sz w:val="30"/>
          <w:szCs w:val="30"/>
          <w:highlight w:val="none"/>
          <w:lang w:eastAsia="zh-CN"/>
        </w:rPr>
        <w:t>造成预决算差异的主要原因是</w:t>
      </w:r>
      <w:r>
        <w:rPr>
          <w:rFonts w:hint="default" w:ascii="Times New Roman" w:hAnsi="Times New Roman" w:eastAsia="仿宋_GB2312" w:cs="Times New Roman"/>
          <w:kern w:val="0"/>
          <w:sz w:val="30"/>
          <w:szCs w:val="30"/>
          <w:highlight w:val="none"/>
          <w:lang w:val="en-US" w:eastAsia="zh-CN"/>
        </w:rPr>
        <w:t>在职</w:t>
      </w:r>
      <w:r>
        <w:rPr>
          <w:rFonts w:hint="default" w:ascii="Times New Roman" w:hAnsi="Times New Roman" w:eastAsia="仿宋_GB2312" w:cs="Times New Roman"/>
          <w:kern w:val="0"/>
          <w:sz w:val="30"/>
          <w:szCs w:val="30"/>
          <w:highlight w:val="none"/>
        </w:rPr>
        <w:t>人员</w:t>
      </w:r>
      <w:r>
        <w:rPr>
          <w:rFonts w:hint="default" w:ascii="Times New Roman" w:hAnsi="Times New Roman" w:eastAsia="仿宋_GB2312" w:cs="Times New Roman"/>
          <w:kern w:val="0"/>
          <w:sz w:val="30"/>
          <w:szCs w:val="30"/>
          <w:highlight w:val="none"/>
          <w:lang w:val="en-US" w:eastAsia="zh-CN"/>
        </w:rPr>
        <w:t>工资</w:t>
      </w:r>
      <w:r>
        <w:rPr>
          <w:rFonts w:hint="default" w:ascii="Times New Roman" w:hAnsi="Times New Roman" w:eastAsia="仿宋_GB2312" w:cs="Times New Roman"/>
          <w:kern w:val="0"/>
          <w:sz w:val="30"/>
          <w:szCs w:val="30"/>
          <w:highlight w:val="none"/>
        </w:rPr>
        <w:t>变动引起的住房公积金支出变动</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属于合理范围内的正常变动</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年初无此项预算</w:t>
      </w:r>
      <w:r>
        <w:rPr>
          <w:rFonts w:hint="default" w:ascii="Times New Roman" w:hAnsi="Times New Roman" w:eastAsia="仿宋_GB2312" w:cs="Times New Roman"/>
          <w:kern w:val="0"/>
          <w:sz w:val="30"/>
          <w:szCs w:val="30"/>
          <w:highlight w:val="none"/>
          <w:lang w:eastAsia="zh-CN"/>
        </w:rPr>
        <w:t>。</w:t>
      </w:r>
    </w:p>
    <w:p>
      <w:pPr>
        <w:widowControl/>
        <w:numPr>
          <w:ilvl w:val="0"/>
          <w:numId w:val="2"/>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11900.00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11879.30</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99.83</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39.22</w:t>
      </w:r>
      <w:r>
        <w:rPr>
          <w:rFonts w:hint="default" w:ascii="Times New Roman" w:hAnsi="Times New Roman" w:eastAsia="仿宋_GB2312" w:cs="Times New Roman"/>
          <w:kern w:val="0"/>
          <w:sz w:val="30"/>
          <w:szCs w:val="30"/>
          <w:highlight w:val="none"/>
          <w:lang w:val="en-US" w:eastAsia="zh-CN"/>
        </w:rPr>
        <w:t>元，增长</w:t>
      </w:r>
      <w:r>
        <w:rPr>
          <w:rFonts w:hint="default" w:ascii="Times New Roman" w:hAnsi="Times New Roman" w:eastAsia="仿宋_GB2312" w:cs="Times New Roman"/>
          <w:color w:val="000000"/>
          <w:sz w:val="30"/>
          <w:lang w:val="zh-CN"/>
        </w:rPr>
        <w:t>0.33</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color w:val="FF0000"/>
          <w:sz w:val="30"/>
          <w:szCs w:val="30"/>
          <w:lang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10000.00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9979.30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84.01</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99.79</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15.99</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39.22</w:t>
      </w:r>
      <w:r>
        <w:rPr>
          <w:rFonts w:hint="default" w:ascii="Times New Roman" w:hAnsi="Times New Roman" w:eastAsia="仿宋_GB2312" w:cs="Times New Roman"/>
          <w:kern w:val="0"/>
          <w:sz w:val="30"/>
          <w:szCs w:val="30"/>
          <w:highlight w:val="none"/>
          <w:lang w:val="en-US" w:eastAsia="zh-CN"/>
        </w:rPr>
        <w:t>元，增长</w:t>
      </w:r>
      <w:r>
        <w:rPr>
          <w:rFonts w:hint="default" w:ascii="Times New Roman" w:hAnsi="Times New Roman" w:eastAsia="仿宋_GB2312" w:cs="Times New Roman"/>
          <w:color w:val="000000"/>
          <w:sz w:val="30"/>
          <w:lang w:val="zh-CN"/>
        </w:rPr>
        <w:t>0.39</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增加0.00元，</w:t>
      </w:r>
      <w:r>
        <w:rPr>
          <w:rFonts w:hint="default" w:ascii="Times New Roman" w:hAnsi="Times New Roman" w:eastAsia="仿宋_GB2312" w:cs="Times New Roman"/>
          <w:color w:val="000000" w:themeColor="text1"/>
          <w:kern w:val="0"/>
          <w:sz w:val="30"/>
          <w:szCs w:val="30"/>
          <w:highlight w:val="none"/>
          <w:lang w:val="en-US" w:eastAsia="zh-CN"/>
          <w14:textFill>
            <w14:solidFill>
              <w14:schemeClr w14:val="tx1"/>
            </w14:solidFill>
          </w14:textFill>
        </w:rPr>
        <w:t>增长0.00%</w:t>
      </w:r>
      <w:r>
        <w:rPr>
          <w:rFonts w:hint="default" w:ascii="Times New Roman" w:hAnsi="Times New Roman" w:eastAsia="仿宋_GB2312" w:cs="Times New Roman"/>
          <w:color w:val="000000" w:themeColor="text1"/>
          <w:kern w:val="0"/>
          <w:sz w:val="30"/>
          <w:szCs w:val="30"/>
          <w:highlight w:val="none"/>
          <w:lang w:eastAsia="zh-CN"/>
          <w14:textFill>
            <w14:solidFill>
              <w14:schemeClr w14:val="tx1"/>
            </w14:solidFill>
          </w14:textFill>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color w:val="auto"/>
          <w:kern w:val="0"/>
          <w:sz w:val="30"/>
          <w:szCs w:val="30"/>
          <w:highlight w:val="none"/>
          <w:lang w:eastAsia="zh-CN"/>
        </w:rPr>
        <w:t>较上年</w:t>
      </w:r>
      <w:r>
        <w:rPr>
          <w:rFonts w:hint="default" w:ascii="Times New Roman" w:hAnsi="Times New Roman" w:eastAsia="仿宋_GB2312" w:cs="Times New Roman"/>
          <w:color w:val="auto"/>
          <w:kern w:val="0"/>
          <w:sz w:val="30"/>
          <w:szCs w:val="30"/>
          <w:highlight w:val="none"/>
          <w:lang w:val="en-US" w:eastAsia="zh-CN"/>
        </w:rPr>
        <w:t>增加0.00元，增长0.00%</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11900.00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11879.30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99.83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39.22</w:t>
      </w:r>
      <w:r>
        <w:rPr>
          <w:rFonts w:hint="default" w:ascii="Times New Roman" w:hAnsi="Times New Roman" w:eastAsia="仿宋_GB2312" w:cs="Times New Roman"/>
          <w:kern w:val="0"/>
          <w:sz w:val="30"/>
          <w:szCs w:val="30"/>
          <w:highlight w:val="none"/>
          <w:lang w:val="en-US" w:eastAsia="zh-CN"/>
        </w:rPr>
        <w:t>元，增长</w:t>
      </w:r>
      <w:r>
        <w:rPr>
          <w:rFonts w:hint="default" w:ascii="Times New Roman" w:hAnsi="Times New Roman" w:eastAsia="仿宋_GB2312" w:cs="Times New Roman"/>
          <w:color w:val="000000"/>
          <w:sz w:val="30"/>
          <w:lang w:val="zh-CN"/>
        </w:rPr>
        <w:t>0.33</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10000.00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9979.30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99.79</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云南省广播电视局贡山中波台严格落实过“紧日子”要求，严控“三公”经费各项支出。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sz w:val="30"/>
          <w:szCs w:val="30"/>
          <w:highlight w:val="none"/>
        </w:rPr>
        <w:t>；公务用车购置费支出决算增加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39.22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，增长</w:t>
      </w:r>
      <w:r>
        <w:rPr>
          <w:rFonts w:hint="default" w:ascii="Times New Roman" w:hAnsi="Times New Roman" w:eastAsia="仿宋_GB2312" w:cs="Times New Roman"/>
          <w:color w:val="000000"/>
          <w:sz w:val="30"/>
          <w:lang w:val="zh-CN"/>
        </w:rPr>
        <w:t>0.39</w:t>
      </w:r>
      <w:r>
        <w:rPr>
          <w:rFonts w:hint="default" w:ascii="Times New Roman" w:hAnsi="Times New Roman" w:eastAsia="仿宋_GB2312" w:cs="Times New Roman"/>
          <w:sz w:val="30"/>
          <w:szCs w:val="30"/>
          <w:highlight w:val="none"/>
        </w:rPr>
        <w:t>%；公务接待费支出决算增加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，增长</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与上年比较无变化</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1900.00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元），较上年增加</w:t>
      </w:r>
      <w:r>
        <w:rPr>
          <w:rFonts w:hint="default" w:ascii="Times New Roman" w:hAnsi="Times New Roman" w:eastAsia="仿宋_GB2312" w:cs="Times New Roman"/>
          <w:kern w:val="0"/>
          <w:sz w:val="30"/>
          <w:szCs w:val="30"/>
          <w:highlight w:val="none"/>
          <w:lang w:val="en-US" w:eastAsia="zh-CN"/>
        </w:rPr>
        <w:t>0.00元，增长0.00%</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元，较上年增加</w:t>
      </w:r>
      <w:r>
        <w:rPr>
          <w:rFonts w:hint="default" w:ascii="Times New Roman" w:hAnsi="Times New Roman" w:eastAsia="仿宋_GB2312" w:cs="Times New Roman"/>
          <w:kern w:val="0"/>
          <w:sz w:val="30"/>
          <w:szCs w:val="30"/>
          <w:highlight w:val="none"/>
          <w:lang w:val="en-US" w:eastAsia="zh-CN"/>
        </w:rPr>
        <w:t>0.00元，</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一般公共预算财政拨款“三公”经费支出决算增加的主要原因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color w:val="auto"/>
          <w:sz w:val="30"/>
          <w:szCs w:val="30"/>
          <w:highlight w:val="none"/>
          <w:lang w:val="en-US" w:eastAsia="zh-CN"/>
        </w:rPr>
        <w:t>公务用车使用年限较长，</w:t>
      </w:r>
      <w:r>
        <w:rPr>
          <w:rFonts w:hint="default" w:ascii="Times New Roman" w:hAnsi="Times New Roman" w:eastAsia="宋体" w:cs="Times New Roman"/>
          <w:sz w:val="28"/>
          <w:szCs w:val="28"/>
          <w:lang w:val="en-US" w:eastAsia="zh-CN"/>
        </w:rPr>
        <w:t>车辆维修频次及成本增加，导致公务用车运行维护费支出决算增加</w:t>
      </w:r>
      <w:r>
        <w:rPr>
          <w:rFonts w:hint="default" w:ascii="Times New Roman" w:hAnsi="Times New Roman" w:eastAsia="仿宋_GB2312" w:cs="Times New Roman"/>
          <w:sz w:val="30"/>
          <w:szCs w:val="30"/>
          <w:highlight w:val="none"/>
          <w:lang w:val="en-US" w:eastAsia="zh-CN"/>
        </w:rPr>
        <w:t>39.22元</w:t>
      </w:r>
      <w:r>
        <w:rPr>
          <w:rFonts w:hint="default" w:ascii="Times New Roman" w:hAnsi="Times New Roman" w:eastAsia="仿宋_GB2312" w:cs="Times New Roman"/>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1.安排因公出国（境）团组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w:t>
      </w:r>
      <w:r>
        <w:rPr>
          <w:rFonts w:hint="default" w:ascii="Times New Roman" w:hAnsi="Times New Roman" w:eastAsia="仿宋_GB2312" w:cs="Times New Roman"/>
          <w:color w:val="000000"/>
          <w:sz w:val="30"/>
          <w:lang w:val="zh-CN"/>
        </w:rPr>
        <w:t>1</w:t>
      </w:r>
      <w:r>
        <w:rPr>
          <w:rFonts w:hint="default" w:ascii="Times New Roman" w:hAnsi="Times New Roman" w:eastAsia="仿宋_GB2312" w:cs="Times New Roman"/>
          <w:b w:val="0"/>
          <w:bCs/>
          <w:sz w:val="30"/>
          <w:szCs w:val="30"/>
          <w:highlight w:val="none"/>
        </w:rPr>
        <w:t>辆。主要用于云南省广播电视局贡山中波台日常工作及广播电视事业项目工作开展所需车辆燃料费、维修费、过路过桥费、保险费等。</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3</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18</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人）。主要用于广电系统日常业务接洽工作开展和检查指导正常必要的接待支出。安排国（境）外公务接待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年机关运行经费支出</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比上年</w:t>
      </w:r>
      <w:r>
        <w:rPr>
          <w:rFonts w:hint="default" w:ascii="Times New Roman" w:hAnsi="Times New Roman" w:eastAsia="仿宋_GB2312" w:cs="Times New Roman"/>
          <w:sz w:val="30"/>
          <w:szCs w:val="30"/>
          <w:highlight w:val="none"/>
        </w:rPr>
        <w:t>增加</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，增长</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云南省广播电视局贡山中波台为公益一类全额拨款事业单位，无机关运行经费。</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云南省广播电视局贡山中波台</w:t>
      </w:r>
      <w:r>
        <w:rPr>
          <w:rFonts w:hint="default" w:ascii="Times New Roman" w:hAnsi="Times New Roman" w:eastAsia="仿宋_GB2312" w:cs="Times New Roman"/>
          <w:sz w:val="30"/>
          <w:szCs w:val="30"/>
          <w:highlight w:val="none"/>
          <w:lang w:eastAsia="zh-CN"/>
        </w:rPr>
        <w:t>资产总额</w:t>
      </w:r>
      <w:r>
        <w:rPr>
          <w:rFonts w:hint="default" w:ascii="Times New Roman" w:hAnsi="Times New Roman" w:eastAsia="仿宋_GB2312" w:cs="Times New Roman"/>
          <w:sz w:val="30"/>
          <w:szCs w:val="30"/>
          <w:highlight w:val="none"/>
          <w:lang w:val="en-US" w:eastAsia="zh-CN"/>
        </w:rPr>
        <w:t>1468143.64</w:t>
      </w:r>
      <w:r>
        <w:rPr>
          <w:rFonts w:hint="default" w:ascii="Times New Roman" w:hAnsi="Times New Roman" w:eastAsia="仿宋_GB2312" w:cs="Times New Roman"/>
          <w:sz w:val="30"/>
          <w:szCs w:val="30"/>
          <w:highlight w:val="none"/>
          <w:lang w:eastAsia="zh-CN"/>
        </w:rPr>
        <w:t>元，其中，流动资产</w:t>
      </w:r>
      <w:r>
        <w:rPr>
          <w:rFonts w:hint="default" w:ascii="Times New Roman" w:hAnsi="Times New Roman" w:eastAsia="仿宋_GB2312" w:cs="Times New Roman"/>
          <w:sz w:val="30"/>
          <w:szCs w:val="30"/>
          <w:highlight w:val="none"/>
          <w:lang w:val="en-US" w:eastAsia="zh-CN"/>
        </w:rPr>
        <w:t>58790.62</w:t>
      </w:r>
      <w:r>
        <w:rPr>
          <w:rFonts w:hint="default" w:ascii="Times New Roman" w:hAnsi="Times New Roman" w:eastAsia="仿宋_GB2312" w:cs="Times New Roman"/>
          <w:sz w:val="30"/>
          <w:szCs w:val="30"/>
          <w:highlight w:val="none"/>
          <w:lang w:eastAsia="zh-CN"/>
        </w:rPr>
        <w:t>元，固定资产</w:t>
      </w:r>
      <w:r>
        <w:rPr>
          <w:rFonts w:hint="default" w:ascii="Times New Roman" w:hAnsi="Times New Roman" w:eastAsia="仿宋_GB2312" w:cs="Times New Roman"/>
          <w:sz w:val="30"/>
          <w:szCs w:val="30"/>
          <w:highlight w:val="none"/>
          <w:lang w:val="en-US" w:eastAsia="zh-CN"/>
        </w:rPr>
        <w:t>1409352.02</w:t>
      </w:r>
      <w:r>
        <w:rPr>
          <w:rFonts w:hint="default" w:ascii="Times New Roman" w:hAnsi="Times New Roman" w:eastAsia="仿宋_GB2312" w:cs="Times New Roman"/>
          <w:sz w:val="30"/>
          <w:szCs w:val="30"/>
          <w:highlight w:val="none"/>
          <w:lang w:eastAsia="zh-CN"/>
        </w:rPr>
        <w:t>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1.00</w:t>
      </w:r>
      <w:r>
        <w:rPr>
          <w:rFonts w:hint="default" w:ascii="Times New Roman" w:hAnsi="Times New Roman" w:eastAsia="仿宋_GB2312" w:cs="Times New Roman"/>
          <w:sz w:val="30"/>
          <w:szCs w:val="30"/>
          <w:highlight w:val="none"/>
          <w:lang w:eastAsia="zh-CN"/>
        </w:rPr>
        <w:t>元（净值），其他资产</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元（净值）（具体内容详见附表）</w:t>
      </w:r>
      <w:r>
        <w:rPr>
          <w:rFonts w:hint="default" w:ascii="Times New Roman" w:hAnsi="Times New Roman" w:eastAsia="仿宋_GB2312" w:cs="Times New Roman"/>
          <w:color w:val="000000"/>
          <w:kern w:val="0"/>
          <w:sz w:val="30"/>
          <w:szCs w:val="30"/>
          <w:highlight w:val="none"/>
        </w:rPr>
        <w:t>。与上年相比，本年资产总额减少</w:t>
      </w:r>
      <w:r>
        <w:rPr>
          <w:rFonts w:hint="default" w:ascii="Times New Roman" w:hAnsi="Times New Roman" w:eastAsia="仿宋_GB2312" w:cs="Times New Roman"/>
          <w:color w:val="000000"/>
          <w:kern w:val="0"/>
          <w:sz w:val="30"/>
          <w:szCs w:val="30"/>
          <w:highlight w:val="none"/>
          <w:lang w:val="en-US" w:eastAsia="zh-CN"/>
        </w:rPr>
        <w:t>61755.21</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w:t>
      </w:r>
      <w:r>
        <w:rPr>
          <w:rFonts w:hint="default" w:ascii="Times New Roman" w:hAnsi="Times New Roman" w:eastAsia="仿宋_GB2312" w:cs="Times New Roman"/>
          <w:color w:val="000000"/>
          <w:kern w:val="0"/>
          <w:sz w:val="30"/>
          <w:szCs w:val="30"/>
          <w:highlight w:val="none"/>
          <w:lang w:val="en-US" w:eastAsia="zh-CN"/>
        </w:rPr>
        <w:t>减少57499.17</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lang w:val="en-US" w:eastAsia="zh-CN"/>
        </w:rPr>
        <w:t>净值</w:t>
      </w: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21</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154348.22</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cs="Times New Roman"/>
          <w:lang w:eastAsia="zh-CN"/>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22179.30</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13700.00</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8479.30</w:t>
      </w:r>
      <w:r>
        <w:rPr>
          <w:rFonts w:hint="default" w:ascii="Times New Roman" w:hAnsi="Times New Roman" w:eastAsia="仿宋_GB2312" w:cs="Times New Roman"/>
          <w:sz w:val="30"/>
          <w:szCs w:val="30"/>
          <w:highlight w:val="none"/>
          <w:lang w:val="en-US" w:eastAsia="zh-CN"/>
        </w:rPr>
        <w:t>元。</w:t>
      </w:r>
      <w:r>
        <w:rPr>
          <w:rFonts w:hint="default" w:ascii="Times New Roman" w:hAnsi="Times New Roman" w:eastAsia="仿宋_GB2312" w:cs="Times New Roman"/>
          <w:color w:val="auto"/>
          <w:sz w:val="30"/>
          <w:szCs w:val="30"/>
          <w:highlight w:val="none"/>
          <w:lang w:val="en-US" w:eastAsia="zh-CN"/>
        </w:rPr>
        <w:t>授予中小企业合同金额</w:t>
      </w:r>
      <w:r>
        <w:rPr>
          <w:rFonts w:hint="default" w:ascii="Times New Roman" w:hAnsi="Times New Roman" w:eastAsia="仿宋_GB2312" w:cs="Times New Roman"/>
          <w:color w:val="auto"/>
          <w:sz w:val="30"/>
          <w:lang w:val="zh-CN"/>
        </w:rPr>
        <w:t>22179.30</w:t>
      </w:r>
      <w:r>
        <w:rPr>
          <w:rFonts w:hint="default" w:ascii="Times New Roman" w:hAnsi="Times New Roman" w:eastAsia="仿宋_GB2312" w:cs="Times New Roman"/>
          <w:color w:val="auto"/>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22179.30</w:t>
      </w:r>
      <w:r>
        <w:rPr>
          <w:rFonts w:hint="default" w:ascii="Times New Roman" w:hAnsi="Times New Roman" w:eastAsia="仿宋_GB2312" w:cs="Times New Roman"/>
          <w:color w:val="auto"/>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（一）绩效自评管理</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（二）绩效评价结果应用</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ind w:firstLine="600" w:firstLineChars="200"/>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66CF"/>
    <w:multiLevelType w:val="singleLevel"/>
    <w:tmpl w:val="BF0666CF"/>
    <w:lvl w:ilvl="0" w:tentative="0">
      <w:start w:val="1"/>
      <w:numFmt w:val="chineseCounting"/>
      <w:suff w:val="nothing"/>
      <w:lvlText w:val="（%1）"/>
      <w:lvlJc w:val="left"/>
      <w:pPr>
        <w:ind w:left="640" w:leftChars="0" w:firstLine="0" w:firstLineChars="0"/>
      </w:pPr>
      <w:rPr>
        <w:rFonts w:hint="eastAsia"/>
      </w:rPr>
    </w:lvl>
  </w:abstractNum>
  <w:abstractNum w:abstractNumId="1">
    <w:nsid w:val="0053208E"/>
    <w:multiLevelType w:val="singleLevel"/>
    <w:tmpl w:val="0053208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60158"/>
    <w:rsid w:val="04804DB8"/>
    <w:rsid w:val="05121C4D"/>
    <w:rsid w:val="06FF6413"/>
    <w:rsid w:val="0A1641A0"/>
    <w:rsid w:val="0E3D488C"/>
    <w:rsid w:val="0E6C1F07"/>
    <w:rsid w:val="0ED21D82"/>
    <w:rsid w:val="106822C6"/>
    <w:rsid w:val="1518725D"/>
    <w:rsid w:val="16B25250"/>
    <w:rsid w:val="16B66F43"/>
    <w:rsid w:val="17037508"/>
    <w:rsid w:val="17214E04"/>
    <w:rsid w:val="17A22A40"/>
    <w:rsid w:val="17D3076B"/>
    <w:rsid w:val="19BC1F42"/>
    <w:rsid w:val="1BED0AD9"/>
    <w:rsid w:val="1FAD224E"/>
    <w:rsid w:val="1FFB5D55"/>
    <w:rsid w:val="20D85FB0"/>
    <w:rsid w:val="20DF3E4C"/>
    <w:rsid w:val="21D676D5"/>
    <w:rsid w:val="22AA649B"/>
    <w:rsid w:val="24B560E9"/>
    <w:rsid w:val="24CF32B7"/>
    <w:rsid w:val="24F028B0"/>
    <w:rsid w:val="25E940BF"/>
    <w:rsid w:val="26B73FF1"/>
    <w:rsid w:val="26DE174A"/>
    <w:rsid w:val="293953C4"/>
    <w:rsid w:val="2B25131F"/>
    <w:rsid w:val="2B9C5F6B"/>
    <w:rsid w:val="2C337314"/>
    <w:rsid w:val="34CE6F43"/>
    <w:rsid w:val="35736E8B"/>
    <w:rsid w:val="3A743FE7"/>
    <w:rsid w:val="3BFC2946"/>
    <w:rsid w:val="401639F5"/>
    <w:rsid w:val="40262519"/>
    <w:rsid w:val="48795FBF"/>
    <w:rsid w:val="4A6575E2"/>
    <w:rsid w:val="4D83789F"/>
    <w:rsid w:val="4D991864"/>
    <w:rsid w:val="50B22EB4"/>
    <w:rsid w:val="515041ED"/>
    <w:rsid w:val="576C7598"/>
    <w:rsid w:val="584D5DAC"/>
    <w:rsid w:val="597A4A53"/>
    <w:rsid w:val="59875AED"/>
    <w:rsid w:val="5C1178F0"/>
    <w:rsid w:val="5C660475"/>
    <w:rsid w:val="5CF804E0"/>
    <w:rsid w:val="65AF6F21"/>
    <w:rsid w:val="694C0E2A"/>
    <w:rsid w:val="69F63CA3"/>
    <w:rsid w:val="6E92201A"/>
    <w:rsid w:val="708B7EA3"/>
    <w:rsid w:val="713865EC"/>
    <w:rsid w:val="71E93B2D"/>
    <w:rsid w:val="720B5B92"/>
    <w:rsid w:val="72736F7F"/>
    <w:rsid w:val="728E539F"/>
    <w:rsid w:val="738F48D5"/>
    <w:rsid w:val="75EF084A"/>
    <w:rsid w:val="780A371A"/>
    <w:rsid w:val="78A32581"/>
    <w:rsid w:val="7AF41471"/>
    <w:rsid w:val="7B15607E"/>
    <w:rsid w:val="7DF45A2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7734</Words>
  <Characters>8756</Characters>
  <Lines>0</Lines>
  <Paragraphs>0</Paragraphs>
  <TotalTime>1</TotalTime>
  <ScaleCrop>false</ScaleCrop>
  <LinksUpToDate>false</LinksUpToDate>
  <CharactersWithSpaces>8776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2026-09-01T12:28:05Z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6ECDC8D399904C6084449DD23FE8BAFA_13</vt:lpwstr>
  </property>
  <property fmtid="{D5CDD505-2E9C-101B-9397-08002B2CF9AE}" pid="4" name="KSOTemplateDocerSaveRecord">
    <vt:lpwstr>eyJoZGlkIjoiMDFiZThhY2U5ZjIzMzYxOTNlZjQ2MTIzMTBhMDQ1ZDEiLCJ1c2VySWQiOiI5NzExMTc1MTkifQ==</vt:lpwstr>
  </property>
</Properties>
</file>