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default" w:ascii="Times New Roman" w:hAnsi="Times New Roman" w:eastAsia="方正小标宋简体" w:cs="Times New Roman"/>
          <w:sz w:val="36"/>
          <w:szCs w:val="36"/>
          <w:highlight w:val="none"/>
        </w:rPr>
      </w:pPr>
      <w:r>
        <w:rPr>
          <w:rFonts w:hint="default" w:ascii="Times New Roman" w:hAnsi="Times New Roman" w:eastAsia="方正小标宋简体" w:cs="Times New Roman"/>
          <w:sz w:val="36"/>
          <w:lang w:val="zh-CN"/>
        </w:rPr>
        <w:t>云南省广播电视局德宏705台</w:t>
      </w:r>
      <w:r>
        <w:rPr>
          <w:rFonts w:hint="default" w:ascii="Times New Roman" w:hAnsi="Times New Roman" w:eastAsia="方正小标宋简体" w:cs="Times New Roman"/>
          <w:sz w:val="36"/>
          <w:szCs w:val="36"/>
          <w:highlight w:val="none"/>
          <w:lang w:val="en-US" w:eastAsia="zh-CN"/>
        </w:rPr>
        <w:t>2025年度</w:t>
      </w:r>
      <w:r>
        <w:rPr>
          <w:rFonts w:hint="default" w:ascii="Times New Roman" w:hAnsi="Times New Roman" w:eastAsia="方正小标宋简体" w:cs="Times New Roman"/>
          <w:sz w:val="36"/>
          <w:szCs w:val="36"/>
          <w:highlight w:val="none"/>
        </w:rPr>
        <w:t>部门决算</w:t>
      </w:r>
    </w:p>
    <w:p>
      <w:pPr>
        <w:jc w:val="center"/>
        <w:outlineLvl w:val="0"/>
        <w:rPr>
          <w:rFonts w:hint="default" w:ascii="Times New Roman" w:hAnsi="Times New Roman" w:eastAsia="方正小标宋简体" w:cs="Times New Roman"/>
          <w:sz w:val="36"/>
          <w:szCs w:val="36"/>
          <w:highlight w:val="none"/>
          <w:lang w:eastAsia="zh-CN"/>
        </w:rPr>
      </w:pPr>
      <w:r>
        <w:rPr>
          <w:rFonts w:hint="default" w:ascii="Times New Roman" w:hAnsi="Times New Roman" w:eastAsia="方正小标宋简体" w:cs="Times New Roman"/>
          <w:sz w:val="36"/>
          <w:szCs w:val="36"/>
          <w:highlight w:val="none"/>
          <w:lang w:eastAsia="zh-CN"/>
        </w:rPr>
        <w:t>目录</w:t>
      </w:r>
    </w:p>
    <w:p>
      <w:pPr>
        <w:jc w:val="left"/>
        <w:rPr>
          <w:rFonts w:hint="default" w:ascii="Times New Roman" w:hAnsi="Times New Roman" w:eastAsia="黑体" w:cs="Times New Roman"/>
          <w:sz w:val="30"/>
          <w:szCs w:val="30"/>
          <w:highlight w:val="none"/>
        </w:rPr>
      </w:pPr>
    </w:p>
    <w:p>
      <w:pPr>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 xml:space="preserve">第一部分  </w:t>
      </w:r>
      <w:r>
        <w:rPr>
          <w:rFonts w:hint="default" w:ascii="Times New Roman" w:hAnsi="Times New Roman" w:eastAsia="黑体" w:cs="Times New Roman"/>
          <w:sz w:val="30"/>
          <w:szCs w:val="30"/>
          <w:highlight w:val="none"/>
          <w:lang w:eastAsia="zh-CN"/>
        </w:rPr>
        <w:t>单位</w:t>
      </w:r>
      <w:r>
        <w:rPr>
          <w:rFonts w:hint="default" w:ascii="Times New Roman" w:hAnsi="Times New Roman" w:eastAsia="黑体" w:cs="Times New Roman"/>
          <w:sz w:val="30"/>
          <w:szCs w:val="30"/>
          <w:highlight w:val="none"/>
        </w:rPr>
        <w:t>概况</w:t>
      </w:r>
    </w:p>
    <w:p>
      <w:pPr>
        <w:spacing w:line="240" w:lineRule="atLeast"/>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rPr>
        <w:t>一、主要职</w:t>
      </w:r>
      <w:r>
        <w:rPr>
          <w:rFonts w:hint="default" w:ascii="Times New Roman" w:hAnsi="Times New Roman" w:eastAsia="楷体" w:cs="Times New Roman"/>
          <w:sz w:val="30"/>
          <w:szCs w:val="30"/>
          <w:highlight w:val="none"/>
          <w:lang w:eastAsia="zh-CN"/>
        </w:rPr>
        <w:t>责</w:t>
      </w:r>
    </w:p>
    <w:p>
      <w:pPr>
        <w:spacing w:line="240" w:lineRule="atLeast"/>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rPr>
        <w:t>二、</w:t>
      </w:r>
      <w:r>
        <w:rPr>
          <w:rFonts w:hint="default" w:ascii="Times New Roman" w:hAnsi="Times New Roman" w:eastAsia="楷体" w:cs="Times New Roman"/>
          <w:sz w:val="30"/>
          <w:szCs w:val="30"/>
          <w:highlight w:val="none"/>
          <w:lang w:eastAsia="zh-CN"/>
        </w:rPr>
        <w:t>基本情况</w:t>
      </w:r>
    </w:p>
    <w:p>
      <w:pPr>
        <w:spacing w:line="240" w:lineRule="atLeast"/>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三、重点工作概述</w:t>
      </w:r>
    </w:p>
    <w:p>
      <w:pPr>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 xml:space="preserve">第二部分  </w:t>
      </w:r>
      <w:r>
        <w:rPr>
          <w:rFonts w:hint="default" w:ascii="Times New Roman" w:hAnsi="Times New Roman" w:eastAsia="黑体" w:cs="Times New Roman"/>
          <w:sz w:val="30"/>
          <w:szCs w:val="30"/>
          <w:highlight w:val="none"/>
          <w:lang w:val="en-US" w:eastAsia="zh-CN"/>
        </w:rPr>
        <w:t>2025年度</w:t>
      </w:r>
      <w:r>
        <w:rPr>
          <w:rFonts w:hint="default" w:ascii="Times New Roman" w:hAnsi="Times New Roman" w:eastAsia="黑体" w:cs="Times New Roman"/>
          <w:sz w:val="30"/>
          <w:szCs w:val="30"/>
          <w:highlight w:val="none"/>
        </w:rPr>
        <w:t>部门决算表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二、收入决算表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三、支出决算表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四、财政拨款收入支出决算表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五、一般公共预算财政拨款收入支出决算表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六、一般公共预算财政拨款基本支出决算表</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rPr>
        <w:t>七、</w:t>
      </w:r>
      <w:r>
        <w:rPr>
          <w:rFonts w:hint="default" w:ascii="Times New Roman" w:hAnsi="Times New Roman" w:eastAsia="楷体" w:cs="Times New Roman"/>
          <w:sz w:val="30"/>
          <w:szCs w:val="30"/>
          <w:highlight w:val="none"/>
          <w:lang w:eastAsia="zh-CN"/>
        </w:rPr>
        <w:t>一般公共预算财政拨款项目支出决算表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eastAsia="zh-CN"/>
        </w:rPr>
        <w:t>八</w:t>
      </w:r>
      <w:r>
        <w:rPr>
          <w:rFonts w:hint="default" w:ascii="Times New Roman" w:hAnsi="Times New Roman" w:eastAsia="楷体" w:cs="Times New Roman"/>
          <w:sz w:val="30"/>
          <w:szCs w:val="30"/>
          <w:highlight w:val="none"/>
        </w:rPr>
        <w:t>、政府性基金预算财政拨款收入支出决算表</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val="en-US" w:eastAsia="zh-CN"/>
        </w:rPr>
        <w:t>九、国有资本经营预算财政拨款收入支出决算表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eastAsia="zh-CN"/>
        </w:rPr>
        <w:t>十</w:t>
      </w:r>
      <w:r>
        <w:rPr>
          <w:rFonts w:hint="default" w:ascii="Times New Roman" w:hAnsi="Times New Roman" w:eastAsia="楷体" w:cs="Times New Roman"/>
          <w:sz w:val="30"/>
          <w:szCs w:val="30"/>
          <w:highlight w:val="none"/>
        </w:rPr>
        <w:t>、</w:t>
      </w:r>
      <w:r>
        <w:rPr>
          <w:rFonts w:hint="default" w:ascii="Times New Roman" w:hAnsi="Times New Roman" w:eastAsia="楷体" w:cs="Times New Roman"/>
          <w:sz w:val="30"/>
          <w:szCs w:val="30"/>
          <w:highlight w:val="none"/>
          <w:lang w:eastAsia="zh-CN"/>
        </w:rPr>
        <w:t>财政拨款</w:t>
      </w:r>
      <w:r>
        <w:rPr>
          <w:rFonts w:hint="default" w:ascii="Times New Roman" w:hAnsi="Times New Roman" w:eastAsia="楷体" w:cs="Times New Roman"/>
          <w:sz w:val="30"/>
          <w:szCs w:val="30"/>
          <w:highlight w:val="none"/>
        </w:rPr>
        <w:t>“三公”经费、行政参公单位机关运行经费情况表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val="en-US" w:eastAsia="zh-CN"/>
        </w:rPr>
        <w:t>十一、一般公共预算财政拨款“三公”经费情况表</w:t>
      </w:r>
    </w:p>
    <w:p>
      <w:pPr>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第三部</w:t>
      </w:r>
      <w:r>
        <w:rPr>
          <w:rFonts w:hint="default" w:ascii="Times New Roman" w:hAnsi="Times New Roman" w:eastAsia="黑体" w:cs="Times New Roman"/>
          <w:sz w:val="30"/>
          <w:szCs w:val="30"/>
          <w:highlight w:val="none"/>
          <w:lang w:eastAsia="zh-CN"/>
        </w:rPr>
        <w:t>分</w:t>
      </w:r>
      <w:r>
        <w:rPr>
          <w:rFonts w:hint="default" w:ascii="Times New Roman" w:hAnsi="Times New Roman" w:eastAsia="黑体" w:cs="Times New Roman"/>
          <w:sz w:val="30"/>
          <w:szCs w:val="30"/>
          <w:highlight w:val="none"/>
        </w:rPr>
        <w:t xml:space="preserve">  </w:t>
      </w:r>
      <w:r>
        <w:rPr>
          <w:rFonts w:hint="default" w:ascii="Times New Roman" w:hAnsi="Times New Roman" w:eastAsia="黑体" w:cs="Times New Roman"/>
          <w:sz w:val="30"/>
          <w:szCs w:val="30"/>
          <w:highlight w:val="none"/>
          <w:lang w:val="en-US" w:eastAsia="zh-CN"/>
        </w:rPr>
        <w:t>2025年度</w:t>
      </w:r>
      <w:r>
        <w:rPr>
          <w:rFonts w:hint="default" w:ascii="Times New Roman" w:hAnsi="Times New Roman" w:eastAsia="黑体" w:cs="Times New Roman"/>
          <w:sz w:val="30"/>
          <w:szCs w:val="30"/>
          <w:highlight w:val="none"/>
        </w:rPr>
        <w:t>部门决算情况说明</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一、收入决算情况说明</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二、支出决算情况说明</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三、一般公共预算财政拨款支出决算情况说明</w:t>
      </w:r>
    </w:p>
    <w:p>
      <w:pPr>
        <w:widowControl/>
        <w:snapToGrid w:val="0"/>
        <w:spacing w:before="100" w:after="100" w:line="360" w:lineRule="auto"/>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四、财政拨款“三公”经费支出决算情况说明</w:t>
      </w:r>
    </w:p>
    <w:p>
      <w:pPr>
        <w:widowControl/>
        <w:snapToGrid w:val="0"/>
        <w:spacing w:before="100" w:after="100" w:line="360" w:lineRule="auto"/>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lang w:eastAsia="zh-CN"/>
        </w:rPr>
        <w:t>第四部分</w:t>
      </w:r>
      <w:r>
        <w:rPr>
          <w:rFonts w:hint="default" w:ascii="Times New Roman" w:hAnsi="Times New Roman" w:eastAsia="楷体" w:cs="Times New Roman"/>
          <w:sz w:val="30"/>
          <w:szCs w:val="30"/>
          <w:highlight w:val="none"/>
          <w:lang w:val="en-US" w:eastAsia="zh-CN"/>
        </w:rPr>
        <w:t xml:space="preserve">  </w:t>
      </w:r>
      <w:r>
        <w:rPr>
          <w:rFonts w:hint="default" w:ascii="Times New Roman" w:hAnsi="Times New Roman" w:eastAsia="黑体" w:cs="Times New Roman"/>
          <w:sz w:val="30"/>
          <w:szCs w:val="30"/>
          <w:highlight w:val="none"/>
        </w:rPr>
        <w:t>其他重要事项及相关口径情况说明</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一、</w:t>
      </w:r>
      <w:r>
        <w:rPr>
          <w:rFonts w:hint="default" w:ascii="Times New Roman" w:hAnsi="Times New Roman" w:eastAsia="楷体" w:cs="Times New Roman"/>
          <w:sz w:val="30"/>
          <w:szCs w:val="30"/>
          <w:highlight w:val="none"/>
        </w:rPr>
        <w:t>机关运行经费支出情况</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二、</w:t>
      </w:r>
      <w:r>
        <w:rPr>
          <w:rFonts w:hint="default" w:ascii="Times New Roman" w:hAnsi="Times New Roman" w:eastAsia="楷体" w:cs="Times New Roman"/>
          <w:sz w:val="30"/>
          <w:szCs w:val="30"/>
          <w:highlight w:val="none"/>
        </w:rPr>
        <w:t>国有资产占用情况</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三、</w:t>
      </w:r>
      <w:r>
        <w:rPr>
          <w:rFonts w:hint="default" w:ascii="Times New Roman" w:hAnsi="Times New Roman" w:eastAsia="楷体" w:cs="Times New Roman"/>
          <w:sz w:val="30"/>
          <w:szCs w:val="30"/>
          <w:highlight w:val="none"/>
        </w:rPr>
        <w:t>政府采购支出情况</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eastAsia="zh-CN"/>
        </w:rPr>
        <w:t>四、</w:t>
      </w:r>
      <w:r>
        <w:rPr>
          <w:rFonts w:hint="default" w:ascii="Times New Roman" w:hAnsi="Times New Roman" w:eastAsia="楷体" w:cs="Times New Roman"/>
          <w:sz w:val="30"/>
          <w:szCs w:val="30"/>
          <w:highlight w:val="none"/>
          <w:lang w:val="en-US" w:eastAsia="zh-CN"/>
        </w:rPr>
        <w:t>单位绩效自评情况</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eastAsia="zh-CN"/>
        </w:rPr>
        <w:t>五、</w:t>
      </w:r>
      <w:r>
        <w:rPr>
          <w:rFonts w:hint="default" w:ascii="Times New Roman" w:hAnsi="Times New Roman" w:eastAsia="楷体" w:cs="Times New Roman"/>
          <w:sz w:val="30"/>
          <w:szCs w:val="30"/>
          <w:highlight w:val="none"/>
          <w:lang w:val="en-US" w:eastAsia="zh-CN"/>
        </w:rPr>
        <w:t>其他重要事项情况说明</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val="en-US" w:eastAsia="zh-CN"/>
        </w:rPr>
        <w:t>六、相关口径说明</w:t>
      </w:r>
    </w:p>
    <w:p>
      <w:pPr>
        <w:widowControl/>
        <w:snapToGrid w:val="0"/>
        <w:spacing w:before="100" w:after="100" w:line="360" w:lineRule="auto"/>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第</w:t>
      </w:r>
      <w:r>
        <w:rPr>
          <w:rFonts w:hint="default" w:ascii="Times New Roman" w:hAnsi="Times New Roman" w:eastAsia="黑体" w:cs="Times New Roman"/>
          <w:sz w:val="30"/>
          <w:szCs w:val="30"/>
          <w:highlight w:val="none"/>
          <w:lang w:eastAsia="zh-CN"/>
        </w:rPr>
        <w:t>五</w:t>
      </w:r>
      <w:r>
        <w:rPr>
          <w:rFonts w:hint="default" w:ascii="Times New Roman" w:hAnsi="Times New Roman" w:eastAsia="黑体" w:cs="Times New Roman"/>
          <w:sz w:val="30"/>
          <w:szCs w:val="30"/>
          <w:highlight w:val="none"/>
        </w:rPr>
        <w:t>部分  名词解释</w:t>
      </w: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both"/>
        <w:rPr>
          <w:rFonts w:hint="default" w:ascii="Times New Roman" w:hAnsi="Times New Roman" w:eastAsia="黑体" w:cs="Times New Roman"/>
          <w:sz w:val="32"/>
          <w:szCs w:val="32"/>
          <w:highlight w:val="none"/>
        </w:rPr>
      </w:pPr>
    </w:p>
    <w:p>
      <w:pPr>
        <w:jc w:val="center"/>
        <w:outlineLvl w:val="0"/>
        <w:rPr>
          <w:rFonts w:hint="default" w:ascii="Times New Roman" w:hAnsi="Times New Roman" w:eastAsia="黑体" w:cs="Times New Roman"/>
          <w:sz w:val="32"/>
          <w:szCs w:val="32"/>
          <w:highlight w:val="none"/>
        </w:rPr>
      </w:pP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 xml:space="preserve">第一部分  </w:t>
      </w:r>
      <w:r>
        <w:rPr>
          <w:rFonts w:hint="default" w:ascii="Times New Roman" w:hAnsi="Times New Roman" w:eastAsia="黑体" w:cs="Times New Roman"/>
          <w:sz w:val="32"/>
          <w:szCs w:val="32"/>
          <w:highlight w:val="none"/>
          <w:lang w:eastAsia="zh-CN"/>
        </w:rPr>
        <w:t>单位</w:t>
      </w:r>
      <w:r>
        <w:rPr>
          <w:rFonts w:hint="default" w:ascii="Times New Roman" w:hAnsi="Times New Roman" w:eastAsia="黑体" w:cs="Times New Roman"/>
          <w:sz w:val="32"/>
          <w:szCs w:val="32"/>
          <w:highlight w:val="none"/>
        </w:rPr>
        <w:t>概况</w:t>
      </w:r>
    </w:p>
    <w:p>
      <w:pPr>
        <w:spacing w:line="600" w:lineRule="exact"/>
        <w:ind w:firstLine="600" w:firstLineChars="200"/>
        <w:outlineLvl w:val="1"/>
        <w:rPr>
          <w:rFonts w:hint="default" w:ascii="Times New Roman" w:hAnsi="Times New Roman" w:eastAsia="黑体" w:cs="Times New Roman"/>
          <w:sz w:val="30"/>
          <w:szCs w:val="30"/>
          <w:highlight w:val="none"/>
          <w:lang w:eastAsia="zh-CN"/>
        </w:rPr>
      </w:pPr>
      <w:r>
        <w:rPr>
          <w:rFonts w:hint="default" w:ascii="Times New Roman" w:hAnsi="Times New Roman" w:eastAsia="黑体" w:cs="Times New Roman"/>
          <w:sz w:val="30"/>
          <w:szCs w:val="30"/>
          <w:highlight w:val="none"/>
        </w:rPr>
        <w:t>一、主要</w:t>
      </w:r>
      <w:r>
        <w:rPr>
          <w:rFonts w:hint="default" w:ascii="Times New Roman" w:hAnsi="Times New Roman" w:eastAsia="黑体" w:cs="Times New Roman"/>
          <w:sz w:val="30"/>
          <w:szCs w:val="30"/>
          <w:highlight w:val="none"/>
          <w:lang w:eastAsia="zh-CN"/>
        </w:rPr>
        <w:t>职责</w:t>
      </w:r>
    </w:p>
    <w:p>
      <w:pPr>
        <w:pStyle w:val="4"/>
        <w:adjustRightInd w:val="0"/>
        <w:snapToGrid w:val="0"/>
        <w:spacing w:line="600" w:lineRule="exact"/>
        <w:ind w:firstLine="630" w:firstLineChars="210"/>
        <w:jc w:val="left"/>
        <w:rPr>
          <w:rFonts w:hint="default" w:ascii="Times New Roman" w:hAnsi="Times New Roman" w:cs="Times New Roman"/>
          <w:bCs/>
          <w:szCs w:val="30"/>
          <w:highlight w:val="none"/>
        </w:rPr>
      </w:pPr>
      <w:r>
        <w:rPr>
          <w:rFonts w:hint="default" w:ascii="Times New Roman" w:hAnsi="Times New Roman" w:cs="Times New Roman"/>
          <w:bCs/>
          <w:szCs w:val="30"/>
          <w:highlight w:val="none"/>
        </w:rPr>
        <w:t>负责辖区内中波广播覆盖、安全播出；负责应急广播体系建设有关工作；负责本台设施设备维护、财务工作和人才队伍建设。</w:t>
      </w:r>
    </w:p>
    <w:p>
      <w:pPr>
        <w:spacing w:line="600" w:lineRule="exact"/>
        <w:ind w:firstLine="600" w:firstLineChars="200"/>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二、基本情况</w:t>
      </w:r>
    </w:p>
    <w:p>
      <w:pPr>
        <w:spacing w:line="600" w:lineRule="exact"/>
        <w:ind w:firstLine="600" w:firstLineChars="200"/>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（一）机构设置情况</w:t>
      </w:r>
    </w:p>
    <w:p>
      <w:pPr>
        <w:spacing w:line="600" w:lineRule="exact"/>
        <w:ind w:firstLine="600" w:firstLineChars="200"/>
        <w:jc w:val="left"/>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rPr>
        <w:t>云南省广播电视局德宏705台</w:t>
      </w:r>
      <w:r>
        <w:rPr>
          <w:rFonts w:hint="default" w:ascii="Times New Roman" w:hAnsi="Times New Roman" w:eastAsia="仿宋_GB2312" w:cs="Times New Roman"/>
          <w:sz w:val="30"/>
          <w:szCs w:val="30"/>
          <w:highlight w:val="none"/>
          <w:lang w:val="en-US" w:eastAsia="zh-CN"/>
        </w:rPr>
        <w:t>共设置3个内设机构，包括：技术科、综合科和财务科。</w:t>
      </w:r>
    </w:p>
    <w:p>
      <w:pPr>
        <w:spacing w:line="600" w:lineRule="exact"/>
        <w:ind w:firstLine="600" w:firstLineChars="200"/>
        <w:jc w:val="left"/>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rPr>
        <w:t>云南省广播电视局德宏705台</w:t>
      </w:r>
      <w:r>
        <w:rPr>
          <w:rFonts w:hint="default" w:ascii="Times New Roman" w:hAnsi="Times New Roman" w:eastAsia="仿宋_GB2312" w:cs="Times New Roman"/>
          <w:sz w:val="30"/>
          <w:szCs w:val="30"/>
          <w:highlight w:val="none"/>
          <w:lang w:val="en-US" w:eastAsia="zh-CN"/>
        </w:rPr>
        <w:t>为基层预算单位，无下属单位。</w:t>
      </w:r>
    </w:p>
    <w:p>
      <w:pPr>
        <w:spacing w:line="600" w:lineRule="exact"/>
        <w:ind w:firstLine="600" w:firstLineChars="200"/>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eastAsia="zh-CN"/>
        </w:rPr>
        <w:t>（二）</w:t>
      </w:r>
      <w:r>
        <w:rPr>
          <w:rFonts w:hint="default" w:ascii="Times New Roman" w:hAnsi="Times New Roman" w:eastAsia="楷体" w:cs="Times New Roman"/>
          <w:sz w:val="30"/>
          <w:szCs w:val="30"/>
          <w:highlight w:val="none"/>
        </w:rPr>
        <w:t>决算单位构成</w:t>
      </w:r>
    </w:p>
    <w:p>
      <w:pPr>
        <w:spacing w:line="600" w:lineRule="exact"/>
        <w:ind w:firstLine="600" w:firstLineChars="200"/>
        <w:jc w:val="left"/>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rPr>
        <w:t>云南省广播电视局德宏705台作为云南省广播电视局三级预算单位纳入202</w:t>
      </w:r>
      <w:r>
        <w:rPr>
          <w:rFonts w:hint="default" w:ascii="Times New Roman" w:hAnsi="Times New Roman" w:eastAsia="仿宋_GB2312" w:cs="Times New Roman"/>
          <w:sz w:val="30"/>
          <w:szCs w:val="30"/>
          <w:highlight w:val="none"/>
          <w:lang w:val="en-US" w:eastAsia="zh-CN"/>
        </w:rPr>
        <w:t>5</w:t>
      </w:r>
      <w:r>
        <w:rPr>
          <w:rFonts w:hint="default" w:ascii="Times New Roman" w:hAnsi="Times New Roman" w:eastAsia="仿宋_GB2312" w:cs="Times New Roman"/>
          <w:sz w:val="30"/>
          <w:szCs w:val="30"/>
          <w:highlight w:val="none"/>
        </w:rPr>
        <w:t>年度部门决算编报范围。</w:t>
      </w:r>
    </w:p>
    <w:p>
      <w:pPr>
        <w:ind w:firstLine="600" w:firstLineChars="200"/>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w:t>
      </w:r>
      <w:r>
        <w:rPr>
          <w:rFonts w:hint="default" w:ascii="Times New Roman" w:hAnsi="Times New Roman" w:eastAsia="楷体" w:cs="Times New Roman"/>
          <w:sz w:val="30"/>
          <w:szCs w:val="30"/>
          <w:highlight w:val="none"/>
          <w:lang w:eastAsia="zh-CN"/>
        </w:rPr>
        <w:t>三</w:t>
      </w:r>
      <w:r>
        <w:rPr>
          <w:rFonts w:hint="default" w:ascii="Times New Roman" w:hAnsi="Times New Roman" w:eastAsia="楷体" w:cs="Times New Roman"/>
          <w:sz w:val="30"/>
          <w:szCs w:val="30"/>
          <w:highlight w:val="none"/>
        </w:rPr>
        <w:t>）</w:t>
      </w:r>
      <w:r>
        <w:rPr>
          <w:rFonts w:hint="default" w:ascii="Times New Roman" w:hAnsi="Times New Roman" w:eastAsia="楷体" w:cs="Times New Roman"/>
          <w:sz w:val="30"/>
          <w:szCs w:val="30"/>
          <w:highlight w:val="none"/>
          <w:lang w:eastAsia="zh-CN"/>
        </w:rPr>
        <w:t>单位</w:t>
      </w:r>
      <w:r>
        <w:rPr>
          <w:rFonts w:hint="default" w:ascii="Times New Roman" w:hAnsi="Times New Roman" w:eastAsia="楷体" w:cs="Times New Roman"/>
          <w:sz w:val="30"/>
          <w:szCs w:val="30"/>
          <w:highlight w:val="none"/>
        </w:rPr>
        <w:t xml:space="preserve">人员和车辆的编制及实有情况 </w:t>
      </w:r>
    </w:p>
    <w:p>
      <w:pPr>
        <w:spacing w:line="600" w:lineRule="exact"/>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sz w:val="30"/>
          <w:szCs w:val="30"/>
          <w:highlight w:val="none"/>
        </w:rPr>
        <w:t>云南省广播电视局德宏705台</w:t>
      </w:r>
      <w:r>
        <w:rPr>
          <w:rFonts w:hint="default" w:ascii="Times New Roman" w:hAnsi="Times New Roman" w:eastAsia="仿宋_GB2312" w:cs="Times New Roman"/>
          <w:sz w:val="30"/>
          <w:szCs w:val="30"/>
          <w:highlight w:val="none"/>
          <w:lang w:val="en-US" w:eastAsia="zh-CN"/>
        </w:rPr>
        <w:t>2025</w:t>
      </w:r>
      <w:r>
        <w:rPr>
          <w:rFonts w:hint="default" w:ascii="Times New Roman" w:hAnsi="Times New Roman" w:eastAsia="仿宋_GB2312" w:cs="Times New Roman"/>
          <w:sz w:val="30"/>
          <w:szCs w:val="30"/>
          <w:highlight w:val="none"/>
        </w:rPr>
        <w:t>年末</w:t>
      </w:r>
      <w:r>
        <w:rPr>
          <w:rFonts w:hint="default" w:ascii="Times New Roman" w:hAnsi="Times New Roman" w:eastAsia="仿宋_GB2312" w:cs="Times New Roman"/>
          <w:sz w:val="30"/>
          <w:szCs w:val="30"/>
          <w:highlight w:val="none"/>
          <w:lang w:eastAsia="zh-CN"/>
        </w:rPr>
        <w:t>编制内</w:t>
      </w:r>
      <w:r>
        <w:rPr>
          <w:rFonts w:hint="default" w:ascii="Times New Roman" w:hAnsi="Times New Roman" w:eastAsia="仿宋_GB2312" w:cs="Times New Roman"/>
          <w:sz w:val="30"/>
          <w:szCs w:val="30"/>
          <w:highlight w:val="none"/>
        </w:rPr>
        <w:t>实有人员</w:t>
      </w:r>
      <w:r>
        <w:rPr>
          <w:rFonts w:hint="default" w:ascii="Times New Roman" w:hAnsi="Times New Roman" w:eastAsia="仿宋_GB2312" w:cs="Times New Roman"/>
          <w:color w:val="auto"/>
          <w:sz w:val="30"/>
          <w:szCs w:val="30"/>
          <w:lang w:val="en-US" w:eastAsia="zh-CN"/>
        </w:rPr>
        <w:t>18</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b w:val="0"/>
          <w:bCs w:val="0"/>
          <w:kern w:val="0"/>
          <w:sz w:val="30"/>
          <w:szCs w:val="30"/>
          <w:highlight w:val="none"/>
          <w:lang w:eastAsia="zh-CN"/>
        </w:rPr>
        <w:t>包括</w:t>
      </w:r>
      <w:r>
        <w:rPr>
          <w:rFonts w:hint="default" w:ascii="Times New Roman" w:hAnsi="Times New Roman" w:eastAsia="仿宋_GB2312" w:cs="Times New Roman"/>
          <w:kern w:val="0"/>
          <w:sz w:val="30"/>
          <w:szCs w:val="30"/>
          <w:highlight w:val="none"/>
          <w:lang w:eastAsia="zh-CN"/>
        </w:rPr>
        <w:t>财政拨款开支经费的</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公务员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参照公务员法管理人员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事业管理人员和专业技术人员</w:t>
      </w:r>
      <w:r>
        <w:rPr>
          <w:rFonts w:hint="default" w:ascii="Times New Roman" w:hAnsi="Times New Roman" w:eastAsia="仿宋_GB2312" w:cs="Times New Roman"/>
          <w:color w:val="auto"/>
          <w:sz w:val="30"/>
          <w:szCs w:val="30"/>
          <w:lang w:val="en-US" w:eastAsia="zh-CN"/>
        </w:rPr>
        <w:t>15</w:t>
      </w:r>
      <w:r>
        <w:rPr>
          <w:rFonts w:hint="default" w:ascii="Times New Roman" w:hAnsi="Times New Roman" w:eastAsia="仿宋_GB2312" w:cs="Times New Roman"/>
          <w:kern w:val="0"/>
          <w:sz w:val="30"/>
          <w:szCs w:val="30"/>
          <w:highlight w:val="none"/>
        </w:rPr>
        <w:t>人，机关和事业工人</w:t>
      </w:r>
      <w:r>
        <w:rPr>
          <w:rFonts w:hint="default" w:ascii="Times New Roman" w:hAnsi="Times New Roman" w:eastAsia="仿宋_GB2312" w:cs="Times New Roman"/>
          <w:color w:val="auto"/>
          <w:sz w:val="30"/>
          <w:szCs w:val="30"/>
          <w:lang w:val="en-US" w:eastAsia="zh-CN"/>
        </w:rPr>
        <w:t>3</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；经费自理人员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w:t>
      </w:r>
    </w:p>
    <w:p>
      <w:pPr>
        <w:spacing w:line="600" w:lineRule="exact"/>
        <w:ind w:firstLine="600" w:firstLineChars="200"/>
        <w:rPr>
          <w:rFonts w:hint="default" w:ascii="Times New Roman" w:hAnsi="Times New Roman" w:eastAsia="仿宋_GB2312" w:cs="Times New Roman"/>
          <w:kern w:val="0"/>
          <w:sz w:val="30"/>
          <w:szCs w:val="30"/>
          <w:highlight w:val="none"/>
          <w:lang w:val="en-US" w:eastAsia="zh-CN"/>
        </w:rPr>
      </w:pPr>
      <w:r>
        <w:rPr>
          <w:rFonts w:hint="default" w:ascii="Times New Roman" w:hAnsi="Times New Roman" w:eastAsia="仿宋_GB2312" w:cs="Times New Roman"/>
          <w:sz w:val="30"/>
          <w:szCs w:val="30"/>
          <w:highlight w:val="none"/>
        </w:rPr>
        <w:t>云南省广播电视局德宏705台</w:t>
      </w:r>
      <w:r>
        <w:rPr>
          <w:rFonts w:hint="default" w:ascii="Times New Roman" w:hAnsi="Times New Roman" w:eastAsia="仿宋_GB2312" w:cs="Times New Roman"/>
          <w:sz w:val="30"/>
          <w:szCs w:val="30"/>
          <w:highlight w:val="none"/>
          <w:lang w:val="en-US" w:eastAsia="zh-CN"/>
        </w:rPr>
        <w:t>2025</w:t>
      </w:r>
      <w:r>
        <w:rPr>
          <w:rFonts w:hint="default" w:ascii="Times New Roman" w:hAnsi="Times New Roman" w:eastAsia="仿宋_GB2312" w:cs="Times New Roman"/>
          <w:sz w:val="30"/>
          <w:szCs w:val="30"/>
          <w:highlight w:val="none"/>
        </w:rPr>
        <w:t>年末</w:t>
      </w:r>
      <w:r>
        <w:rPr>
          <w:rFonts w:hint="default" w:ascii="Times New Roman" w:hAnsi="Times New Roman" w:eastAsia="仿宋_GB2312" w:cs="Times New Roman"/>
          <w:sz w:val="30"/>
          <w:szCs w:val="30"/>
          <w:highlight w:val="none"/>
          <w:lang w:eastAsia="zh-CN"/>
        </w:rPr>
        <w:t>其他人员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sz w:val="30"/>
          <w:szCs w:val="30"/>
          <w:highlight w:val="none"/>
          <w:lang w:val="en-US" w:eastAsia="zh-CN"/>
        </w:rPr>
        <w:t>人。包括财政拨款开支经费的人员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sz w:val="30"/>
          <w:szCs w:val="30"/>
          <w:highlight w:val="none"/>
          <w:lang w:eastAsia="zh-CN"/>
        </w:rPr>
        <w:t>人；经费自理人员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sz w:val="30"/>
          <w:szCs w:val="30"/>
          <w:highlight w:val="none"/>
          <w:lang w:eastAsia="zh-CN"/>
        </w:rPr>
        <w:t>人。</w:t>
      </w:r>
    </w:p>
    <w:p>
      <w:pPr>
        <w:spacing w:line="600" w:lineRule="exact"/>
        <w:ind w:firstLine="600" w:firstLineChars="200"/>
        <w:jc w:val="left"/>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i w:val="0"/>
          <w:iCs w:val="0"/>
          <w:kern w:val="0"/>
          <w:sz w:val="30"/>
          <w:szCs w:val="30"/>
          <w:highlight w:val="none"/>
          <w:lang w:eastAsia="zh-CN"/>
        </w:rPr>
        <w:t>年末单位发放离退休费的</w:t>
      </w:r>
      <w:r>
        <w:rPr>
          <w:rFonts w:hint="default" w:ascii="Times New Roman" w:hAnsi="Times New Roman" w:eastAsia="仿宋_GB2312" w:cs="Times New Roman"/>
          <w:i w:val="0"/>
          <w:iCs w:val="0"/>
          <w:strike w:val="0"/>
          <w:dstrike w:val="0"/>
          <w:color w:val="auto"/>
          <w:kern w:val="0"/>
          <w:sz w:val="30"/>
          <w:szCs w:val="30"/>
          <w:highlight w:val="none"/>
        </w:rPr>
        <w:t>离</w:t>
      </w:r>
      <w:r>
        <w:rPr>
          <w:rFonts w:hint="default" w:ascii="Times New Roman" w:hAnsi="Times New Roman" w:eastAsia="仿宋_GB2312" w:cs="Times New Roman"/>
          <w:i w:val="0"/>
          <w:iCs w:val="0"/>
          <w:kern w:val="0"/>
          <w:sz w:val="30"/>
          <w:szCs w:val="30"/>
          <w:highlight w:val="none"/>
        </w:rPr>
        <w:t>退休人员</w:t>
      </w:r>
      <w:r>
        <w:rPr>
          <w:rFonts w:hint="default" w:ascii="Times New Roman" w:hAnsi="Times New Roman" w:eastAsia="仿宋_GB2312" w:cs="Times New Roman"/>
          <w:i w:val="0"/>
          <w:iCs w:val="0"/>
          <w:kern w:val="0"/>
          <w:sz w:val="30"/>
          <w:szCs w:val="30"/>
          <w:highlight w:val="none"/>
          <w:lang w:eastAsia="zh-CN"/>
        </w:rPr>
        <w:t>共计</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离休</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人，退休</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）。年末</w:t>
      </w:r>
      <w:r>
        <w:rPr>
          <w:rFonts w:hint="default" w:ascii="Times New Roman" w:hAnsi="Times New Roman" w:eastAsia="仿宋_GB2312" w:cs="Times New Roman"/>
          <w:kern w:val="0"/>
          <w:sz w:val="30"/>
          <w:szCs w:val="30"/>
          <w:highlight w:val="none"/>
        </w:rPr>
        <w:t>由养老保险基金发放养老金的离退休人员</w:t>
      </w:r>
      <w:r>
        <w:rPr>
          <w:rFonts w:hint="default" w:ascii="Times New Roman" w:hAnsi="Times New Roman" w:eastAsia="仿宋_GB2312" w:cs="Times New Roman"/>
          <w:color w:val="auto"/>
          <w:sz w:val="30"/>
          <w:szCs w:val="30"/>
          <w:lang w:val="en-US" w:eastAsia="zh-CN"/>
        </w:rPr>
        <w:t>22</w:t>
      </w:r>
      <w:r>
        <w:rPr>
          <w:rFonts w:hint="default" w:ascii="Times New Roman" w:hAnsi="Times New Roman" w:eastAsia="仿宋_GB2312" w:cs="Times New Roman"/>
          <w:kern w:val="0"/>
          <w:sz w:val="30"/>
          <w:szCs w:val="30"/>
          <w:highlight w:val="none"/>
          <w:lang w:val="en-US" w:eastAsia="zh-CN"/>
        </w:rPr>
        <w:t>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离休</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人，退休</w:t>
      </w:r>
      <w:r>
        <w:rPr>
          <w:rFonts w:hint="default" w:ascii="Times New Roman" w:hAnsi="Times New Roman" w:eastAsia="仿宋_GB2312" w:cs="Times New Roman"/>
          <w:color w:val="auto"/>
          <w:sz w:val="30"/>
          <w:szCs w:val="30"/>
          <w:lang w:val="en-US" w:eastAsia="zh-CN"/>
        </w:rPr>
        <w:t>22</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w:t>
      </w:r>
    </w:p>
    <w:p>
      <w:pPr>
        <w:spacing w:line="600" w:lineRule="exact"/>
        <w:ind w:firstLine="600" w:firstLineChars="200"/>
        <w:jc w:val="left"/>
        <w:rPr>
          <w:rFonts w:hint="default" w:ascii="Times New Roman" w:hAnsi="Times New Roman" w:eastAsia="仿宋_GB2312" w:cs="Times New Roman"/>
          <w:color w:val="FF0000"/>
          <w:kern w:val="0"/>
          <w:sz w:val="30"/>
          <w:szCs w:val="30"/>
          <w:highlight w:val="none"/>
        </w:rPr>
      </w:pPr>
      <w:r>
        <w:rPr>
          <w:rFonts w:hint="default" w:ascii="Times New Roman" w:hAnsi="Times New Roman" w:eastAsia="仿宋_GB2312" w:cs="Times New Roman"/>
          <w:b w:val="0"/>
          <w:bCs w:val="0"/>
          <w:sz w:val="30"/>
          <w:szCs w:val="30"/>
          <w:highlight w:val="none"/>
          <w:u w:val="none"/>
          <w:lang w:val="en-US" w:eastAsia="zh-CN"/>
        </w:rPr>
        <w:t>车辆编制1辆，在编实有车辆0辆，超编0辆。</w:t>
      </w:r>
    </w:p>
    <w:p>
      <w:pPr>
        <w:numPr>
          <w:ilvl w:val="0"/>
          <w:numId w:val="1"/>
        </w:numPr>
        <w:spacing w:line="600" w:lineRule="exact"/>
        <w:ind w:firstLine="600" w:firstLineChars="200"/>
        <w:outlineLvl w:val="1"/>
        <w:rPr>
          <w:rFonts w:hint="default" w:ascii="Times New Roman" w:hAnsi="Times New Roman" w:eastAsia="黑体" w:cs="Times New Roman"/>
          <w:sz w:val="30"/>
          <w:szCs w:val="30"/>
          <w:highlight w:val="none"/>
          <w:lang w:eastAsia="zh-CN"/>
        </w:rPr>
      </w:pPr>
      <w:r>
        <w:rPr>
          <w:rFonts w:hint="default" w:ascii="Times New Roman" w:hAnsi="Times New Roman" w:eastAsia="黑体" w:cs="Times New Roman"/>
          <w:sz w:val="30"/>
          <w:szCs w:val="30"/>
          <w:highlight w:val="none"/>
          <w:lang w:eastAsia="zh-CN"/>
        </w:rPr>
        <w:t>重点工作概述</w:t>
      </w:r>
    </w:p>
    <w:p>
      <w:pPr>
        <w:spacing w:line="600" w:lineRule="exact"/>
        <w:ind w:firstLine="600" w:firstLineChars="200"/>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2025年，云南省广播电视局</w:t>
      </w:r>
      <w:r>
        <w:rPr>
          <w:rFonts w:hint="default" w:ascii="Times New Roman" w:hAnsi="Times New Roman" w:eastAsia="仿宋_GB2312" w:cs="Times New Roman"/>
          <w:sz w:val="30"/>
          <w:szCs w:val="30"/>
          <w:highlight w:val="none"/>
          <w:lang w:val="en-US" w:eastAsia="zh-CN"/>
        </w:rPr>
        <w:t>德宏705</w:t>
      </w:r>
      <w:r>
        <w:rPr>
          <w:rFonts w:hint="default" w:ascii="Times New Roman" w:hAnsi="Times New Roman" w:eastAsia="仿宋_GB2312" w:cs="Times New Roman"/>
          <w:sz w:val="30"/>
          <w:szCs w:val="30"/>
          <w:highlight w:val="none"/>
          <w:lang w:eastAsia="zh-CN"/>
        </w:rPr>
        <w:t>台坚持以习近平新时代中国特色社会主义思想为指导，紧紧围绕安全播出保障这一中心任务，坚持以“党建引领、安全播出、管理优化、智慧运维、事业建设、队伍建设和精神文明建设”七项工程为抓手，持续推进“规范化、标准化、智慧化”美丽台站建设，不断提升台站综合管理水平和安播保障能力，扎实推动中波广播事业发展。</w:t>
      </w:r>
    </w:p>
    <w:p>
      <w:pPr>
        <w:spacing w:line="600" w:lineRule="exact"/>
        <w:ind w:firstLine="600" w:firstLineChars="200"/>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（一）坚持党建引领</w:t>
      </w:r>
    </w:p>
    <w:p>
      <w:pPr>
        <w:spacing w:line="600" w:lineRule="exact"/>
        <w:ind w:firstLine="600" w:firstLineChars="200"/>
        <w:jc w:val="left"/>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一是强化理论武装。坚持用习近平新时代中国特色社会主义思想凝心铸魂，严格落实“第一议题”“第一主题”制度，抓实周一学习，跟进学习习近平总书记重要讲话和重要指示批示精神，认真学习贯彻习近平文化思想、习近平总书记考察云南重要讲话精神，做到及时跟进学、联系实际学、笃信笃行学，确保党的创新理论入脑入心、走深走实。二是强化支部建设。严格执行“三会一课”、主题党日、组织生活会及民主评议党员等制度，2025年累计开展支部党员大会</w:t>
      </w:r>
      <w:r>
        <w:rPr>
          <w:rFonts w:hint="default" w:ascii="Times New Roman" w:hAnsi="Times New Roman" w:eastAsia="仿宋_GB2312" w:cs="Times New Roman"/>
          <w:sz w:val="30"/>
          <w:szCs w:val="30"/>
          <w:highlight w:val="none"/>
          <w:lang w:val="en-US" w:eastAsia="zh-CN"/>
        </w:rPr>
        <w:t>10</w:t>
      </w:r>
      <w:r>
        <w:rPr>
          <w:rFonts w:hint="default" w:ascii="Times New Roman" w:hAnsi="Times New Roman" w:eastAsia="仿宋_GB2312" w:cs="Times New Roman"/>
          <w:sz w:val="30"/>
          <w:szCs w:val="30"/>
          <w:highlight w:val="none"/>
          <w:lang w:eastAsia="zh-CN"/>
        </w:rPr>
        <w:t>次、领导干部讲党课</w:t>
      </w:r>
      <w:r>
        <w:rPr>
          <w:rFonts w:hint="default" w:ascii="Times New Roman" w:hAnsi="Times New Roman" w:eastAsia="仿宋_GB2312" w:cs="Times New Roman"/>
          <w:sz w:val="30"/>
          <w:szCs w:val="30"/>
          <w:highlight w:val="none"/>
          <w:lang w:val="en-US" w:eastAsia="zh-CN"/>
        </w:rPr>
        <w:t>5</w:t>
      </w:r>
      <w:r>
        <w:rPr>
          <w:rFonts w:hint="default" w:ascii="Times New Roman" w:hAnsi="Times New Roman" w:eastAsia="仿宋_GB2312" w:cs="Times New Roman"/>
          <w:sz w:val="30"/>
          <w:szCs w:val="30"/>
          <w:highlight w:val="none"/>
          <w:lang w:eastAsia="zh-CN"/>
        </w:rPr>
        <w:t>次，“主题党日”</w:t>
      </w:r>
      <w:r>
        <w:rPr>
          <w:rFonts w:hint="default" w:ascii="Times New Roman" w:hAnsi="Times New Roman" w:eastAsia="仿宋_GB2312" w:cs="Times New Roman"/>
          <w:sz w:val="30"/>
          <w:szCs w:val="30"/>
          <w:highlight w:val="none"/>
          <w:lang w:val="en-US" w:eastAsia="zh-CN"/>
        </w:rPr>
        <w:t>14</w:t>
      </w:r>
      <w:r>
        <w:rPr>
          <w:rFonts w:hint="default" w:ascii="Times New Roman" w:hAnsi="Times New Roman" w:eastAsia="仿宋_GB2312" w:cs="Times New Roman"/>
          <w:sz w:val="30"/>
          <w:szCs w:val="30"/>
          <w:highlight w:val="none"/>
          <w:lang w:eastAsia="zh-CN"/>
        </w:rPr>
        <w:t>次，扎实推进“书记项目”“督学考学评学”等工作，持续深化党支部规范化建设。三是强化作风建设。认真落实党风廉政建设责任制，扎实开展深入贯彻中央八项规定精神学习教育，积极开展反腐倡廉教育，认真组织“小事小节看作风”季度检视会，强化遵规守纪意识，转变工作作风，提升党员干部的整体形象和精神风貌。</w:t>
      </w:r>
    </w:p>
    <w:p>
      <w:pPr>
        <w:spacing w:line="600" w:lineRule="exact"/>
        <w:ind w:firstLine="600" w:firstLineChars="200"/>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（二）强化安播保障</w:t>
      </w:r>
    </w:p>
    <w:p>
      <w:pPr>
        <w:spacing w:line="600" w:lineRule="exact"/>
        <w:ind w:firstLine="600" w:firstLineChars="200"/>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牢固树立安全播出生命线意识，牢牢把握“字字千钧、秒秒政治、天天考试”的总要求和“不间断、高质量、既经济、又安全”维护方针，坚决扛牢安播责任，认真贯彻广电总局、局党组有关安全播出工作部署。一是做好运维管理，严格落实周检、月检、季检、年检制度，确保设备运行稳定、安全可靠。二是加强值班值守，严格执行24小时值班值守制度，认真落实领导带班制度，加强对设施设备和传输线路的巡查保护，全力确保广播信号安全播出。三是确保重保期安全，主动加强与驻地党委、政府、公安、电力等部门沟通协调，严格执行“零报告”制度，及时启动应急预案，确保春节、全国两会、纪念中国人民抗日战争暨世界反法西斯战争胜利80周年等重保期安全播出，圆满完成全年安播保障任务。</w:t>
      </w:r>
    </w:p>
    <w:p>
      <w:pPr>
        <w:spacing w:line="600" w:lineRule="exact"/>
        <w:ind w:firstLine="600" w:firstLineChars="200"/>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（三）深化规范管理</w:t>
      </w:r>
    </w:p>
    <w:p>
      <w:pPr>
        <w:spacing w:line="600" w:lineRule="exact"/>
        <w:ind w:firstLine="600" w:firstLineChars="200"/>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一是围绕“心怀感恩、忠于职守、重视学习、规范管理、增强活力”的要求，深化作风革命效能革命，严格内控管理制度执行，加强财务风险防控，规范“三重一大”议事决策程序，严控议事决策、政府采购、公务接待、公车使用等关键环节，持续提升规范化管理水平。二是以干部队伍能力建设为核心，坚持“以人为本，人才兴台”理念，常态化开展学习教育、业务培训和实操演练，不断提高台站干部队伍的综合素质、业务水平和应急处突能力，为台站事业发展提供坚实的人才保障。</w:t>
      </w: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 xml:space="preserve">第二部分  </w:t>
      </w:r>
      <w:r>
        <w:rPr>
          <w:rFonts w:hint="default" w:ascii="Times New Roman" w:hAnsi="Times New Roman" w:eastAsia="黑体" w:cs="Times New Roman"/>
          <w:sz w:val="32"/>
          <w:szCs w:val="32"/>
          <w:highlight w:val="none"/>
          <w:lang w:val="en-US" w:eastAsia="zh-CN"/>
        </w:rPr>
        <w:t>2025年度</w:t>
      </w:r>
      <w:r>
        <w:rPr>
          <w:rFonts w:hint="default" w:ascii="Times New Roman" w:hAnsi="Times New Roman" w:eastAsia="黑体" w:cs="Times New Roman"/>
          <w:sz w:val="32"/>
          <w:szCs w:val="32"/>
          <w:highlight w:val="none"/>
        </w:rPr>
        <w:t>部门决算表</w:t>
      </w:r>
    </w:p>
    <w:p>
      <w:pPr>
        <w:spacing w:line="600" w:lineRule="exact"/>
        <w:ind w:firstLine="600" w:firstLineChars="200"/>
        <w:jc w:val="center"/>
        <w:outlineLvl w:val="1"/>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rPr>
        <w:t>（详见附件）</w:t>
      </w:r>
    </w:p>
    <w:p>
      <w:pPr>
        <w:spacing w:line="600" w:lineRule="exact"/>
        <w:ind w:firstLine="600" w:firstLineChars="200"/>
        <w:jc w:val="both"/>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云南省广播电视局德宏705台202</w:t>
      </w:r>
      <w:r>
        <w:rPr>
          <w:rFonts w:hint="default" w:ascii="Times New Roman" w:hAnsi="Times New Roman" w:eastAsia="仿宋_GB2312" w:cs="Times New Roman"/>
          <w:sz w:val="30"/>
          <w:szCs w:val="30"/>
          <w:highlight w:val="none"/>
          <w:lang w:val="en-US" w:eastAsia="zh-CN"/>
        </w:rPr>
        <w:t>5</w:t>
      </w:r>
      <w:r>
        <w:rPr>
          <w:rFonts w:hint="default" w:ascii="Times New Roman" w:hAnsi="Times New Roman" w:eastAsia="仿宋_GB2312" w:cs="Times New Roman"/>
          <w:sz w:val="30"/>
          <w:szCs w:val="30"/>
          <w:highlight w:val="none"/>
          <w:lang w:eastAsia="zh-CN"/>
        </w:rPr>
        <w:t>年度没有政府性基金收入，也没有使用政府性基金安排的支出，故《政府性基金预算财政拨款收入支出决算表》为空表。202</w:t>
      </w:r>
      <w:r>
        <w:rPr>
          <w:rFonts w:hint="default" w:ascii="Times New Roman" w:hAnsi="Times New Roman" w:eastAsia="仿宋_GB2312" w:cs="Times New Roman"/>
          <w:sz w:val="30"/>
          <w:szCs w:val="30"/>
          <w:highlight w:val="none"/>
          <w:lang w:val="en-US" w:eastAsia="zh-CN"/>
        </w:rPr>
        <w:t>5</w:t>
      </w:r>
      <w:r>
        <w:rPr>
          <w:rFonts w:hint="default" w:ascii="Times New Roman" w:hAnsi="Times New Roman" w:eastAsia="仿宋_GB2312" w:cs="Times New Roman"/>
          <w:sz w:val="30"/>
          <w:szCs w:val="30"/>
          <w:highlight w:val="none"/>
          <w:lang w:eastAsia="zh-CN"/>
        </w:rPr>
        <w:t>年度无国有资本经营预算财政拨款收入，也没有使用国有资本经营预算财政拨款安排的支出，故《国有资本经营预算财政拨款收入支出决算表》为空表。</w:t>
      </w: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第三部</w:t>
      </w:r>
      <w:r>
        <w:rPr>
          <w:rFonts w:hint="default" w:ascii="Times New Roman" w:hAnsi="Times New Roman" w:eastAsia="黑体" w:cs="Times New Roman"/>
          <w:sz w:val="32"/>
          <w:szCs w:val="32"/>
          <w:highlight w:val="none"/>
          <w:lang w:eastAsia="zh-CN"/>
        </w:rPr>
        <w:t>分</w:t>
      </w:r>
      <w:r>
        <w:rPr>
          <w:rFonts w:hint="default" w:ascii="Times New Roman" w:hAnsi="Times New Roman" w:eastAsia="黑体" w:cs="Times New Roman"/>
          <w:sz w:val="32"/>
          <w:szCs w:val="32"/>
          <w:highlight w:val="none"/>
        </w:rPr>
        <w:t xml:space="preserve">  </w:t>
      </w:r>
      <w:r>
        <w:rPr>
          <w:rFonts w:hint="default" w:ascii="Times New Roman" w:hAnsi="Times New Roman" w:eastAsia="黑体" w:cs="Times New Roman"/>
          <w:sz w:val="32"/>
          <w:szCs w:val="32"/>
          <w:highlight w:val="none"/>
          <w:lang w:val="en-US" w:eastAsia="zh-CN"/>
        </w:rPr>
        <w:t>2025年度</w:t>
      </w:r>
      <w:r>
        <w:rPr>
          <w:rFonts w:hint="default" w:ascii="Times New Roman" w:hAnsi="Times New Roman" w:eastAsia="黑体" w:cs="Times New Roman"/>
          <w:sz w:val="32"/>
          <w:szCs w:val="32"/>
          <w:highlight w:val="none"/>
        </w:rPr>
        <w:t>部门决算情况说明</w:t>
      </w:r>
    </w:p>
    <w:p>
      <w:pPr>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一、收入决算情况说明</w:t>
      </w:r>
    </w:p>
    <w:p>
      <w:pPr>
        <w:widowControl/>
        <w:snapToGrid/>
        <w:spacing w:before="0" w:after="0" w:line="600" w:lineRule="exact"/>
        <w:ind w:firstLine="600" w:firstLineChars="200"/>
        <w:jc w:val="both"/>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color w:val="auto"/>
          <w:sz w:val="30"/>
          <w:lang w:val="zh-CN"/>
        </w:rPr>
        <w:t>云南省广播电视局德宏705台</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收入合计</w:t>
      </w:r>
      <w:r>
        <w:rPr>
          <w:rFonts w:hint="default" w:ascii="Times New Roman" w:hAnsi="Times New Roman" w:eastAsia="仿宋_GB2312" w:cs="Times New Roman"/>
          <w:color w:val="auto"/>
          <w:sz w:val="30"/>
          <w:lang w:val="zh-CN"/>
        </w:rPr>
        <w:t>3763141.65</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。其中：财政拨款收入</w:t>
      </w:r>
      <w:r>
        <w:rPr>
          <w:rFonts w:hint="default" w:ascii="Times New Roman" w:hAnsi="Times New Roman" w:eastAsia="仿宋_GB2312" w:cs="Times New Roman"/>
          <w:color w:val="auto"/>
          <w:sz w:val="30"/>
          <w:lang w:val="zh-CN"/>
        </w:rPr>
        <w:t>3762911.57</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，占总收入的</w:t>
      </w:r>
      <w:r>
        <w:rPr>
          <w:rFonts w:hint="default" w:ascii="Times New Roman" w:hAnsi="Times New Roman" w:eastAsia="仿宋_GB2312" w:cs="Times New Roman"/>
          <w:color w:val="auto"/>
          <w:sz w:val="30"/>
          <w:lang w:val="zh-CN"/>
        </w:rPr>
        <w:t>99.99</w:t>
      </w:r>
      <w:r>
        <w:rPr>
          <w:rFonts w:hint="default" w:ascii="Times New Roman" w:hAnsi="Times New Roman" w:eastAsia="仿宋_GB2312" w:cs="Times New Roman"/>
          <w:sz w:val="30"/>
          <w:szCs w:val="30"/>
          <w:highlight w:val="none"/>
        </w:rPr>
        <w:t>%；其他收入</w:t>
      </w:r>
      <w:r>
        <w:rPr>
          <w:rFonts w:hint="default" w:ascii="Times New Roman" w:hAnsi="Times New Roman" w:eastAsia="仿宋_GB2312" w:cs="Times New Roman"/>
          <w:color w:val="auto"/>
          <w:sz w:val="30"/>
          <w:lang w:val="zh-CN"/>
        </w:rPr>
        <w:t>230.08</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，占总收入的</w:t>
      </w:r>
      <w:r>
        <w:rPr>
          <w:rFonts w:hint="default" w:ascii="Times New Roman" w:hAnsi="Times New Roman" w:eastAsia="仿宋_GB2312" w:cs="Times New Roman"/>
          <w:color w:val="auto"/>
          <w:sz w:val="30"/>
          <w:lang w:val="zh-CN"/>
        </w:rPr>
        <w:t>0.01</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kern w:val="0"/>
          <w:sz w:val="30"/>
          <w:szCs w:val="30"/>
          <w:highlight w:val="none"/>
          <w:lang w:val="en-US" w:eastAsia="zh-CN"/>
        </w:rPr>
        <w:t>无上级补助收入、事业收入（含教育收费）、经营收入、附属单位上缴收入。</w:t>
      </w:r>
    </w:p>
    <w:p>
      <w:pPr>
        <w:widowControl/>
        <w:snapToGrid w:val="0"/>
        <w:spacing w:before="100" w:after="100" w:line="600" w:lineRule="exact"/>
        <w:ind w:firstLine="538"/>
        <w:jc w:val="both"/>
        <w:rPr>
          <w:rFonts w:hint="default" w:ascii="Times New Roman" w:hAnsi="Times New Roman" w:eastAsia="仿宋_GB2312" w:cs="Times New Roman"/>
          <w:color w:val="FF0000"/>
          <w:kern w:val="0"/>
          <w:sz w:val="30"/>
          <w:szCs w:val="30"/>
          <w:highlight w:val="none"/>
        </w:rPr>
      </w:pPr>
      <w:r>
        <w:rPr>
          <w:rFonts w:hint="default" w:ascii="Times New Roman" w:hAnsi="Times New Roman" w:eastAsia="仿宋_GB2312" w:cs="Times New Roman"/>
          <w:sz w:val="30"/>
          <w:szCs w:val="30"/>
          <w:highlight w:val="none"/>
        </w:rPr>
        <w:t>与上年</w:t>
      </w:r>
      <w:r>
        <w:rPr>
          <w:rFonts w:hint="default" w:ascii="Times New Roman" w:hAnsi="Times New Roman" w:eastAsia="仿宋_GB2312" w:cs="Times New Roman"/>
          <w:sz w:val="30"/>
          <w:szCs w:val="30"/>
          <w:highlight w:val="none"/>
          <w:lang w:eastAsia="zh-CN"/>
        </w:rPr>
        <w:t>相比，</w:t>
      </w:r>
      <w:r>
        <w:rPr>
          <w:rFonts w:hint="default" w:ascii="Times New Roman" w:hAnsi="Times New Roman" w:eastAsia="仿宋_GB2312" w:cs="Times New Roman"/>
          <w:sz w:val="30"/>
          <w:szCs w:val="30"/>
          <w:highlight w:val="none"/>
        </w:rPr>
        <w:t>收入合计</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color w:val="auto"/>
          <w:sz w:val="30"/>
          <w:lang w:val="zh-CN"/>
        </w:rPr>
        <w:t>236713.97</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6.71</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w:t>
      </w:r>
      <w:r>
        <w:rPr>
          <w:rFonts w:hint="default" w:ascii="Times New Roman" w:hAnsi="Times New Roman" w:eastAsia="仿宋_GB2312" w:cs="Times New Roman"/>
          <w:sz w:val="30"/>
          <w:szCs w:val="30"/>
          <w:highlight w:val="none"/>
        </w:rPr>
        <w:t>财政拨款收入</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color w:val="auto"/>
          <w:sz w:val="30"/>
          <w:lang w:val="zh-CN"/>
        </w:rPr>
        <w:t>236483.89</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6.71</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财政拨款收入</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sz w:val="30"/>
          <w:szCs w:val="30"/>
          <w:highlight w:val="none"/>
        </w:rPr>
        <w:t>主要原因</w:t>
      </w:r>
      <w:r>
        <w:rPr>
          <w:rFonts w:hint="default" w:ascii="Times New Roman" w:hAnsi="Times New Roman" w:eastAsia="仿宋_GB2312" w:cs="Times New Roman"/>
          <w:sz w:val="30"/>
          <w:szCs w:val="30"/>
          <w:highlight w:val="none"/>
          <w:lang w:eastAsia="zh-CN"/>
        </w:rPr>
        <w:t>：一是</w:t>
      </w:r>
      <w:r>
        <w:rPr>
          <w:rFonts w:hint="default" w:ascii="Times New Roman" w:hAnsi="Times New Roman" w:eastAsia="仿宋_GB2312" w:cs="Times New Roman"/>
          <w:sz w:val="30"/>
          <w:szCs w:val="30"/>
          <w:highlight w:val="none"/>
        </w:rPr>
        <w:t>单位人员变动引起的人员经费、公用经费预算收入变动，属于合理范围内的正常变动</w:t>
      </w:r>
      <w:r>
        <w:rPr>
          <w:rFonts w:hint="default" w:ascii="Times New Roman" w:hAnsi="Times New Roman" w:eastAsia="仿宋_GB2312" w:cs="Times New Roman"/>
          <w:sz w:val="30"/>
          <w:szCs w:val="30"/>
          <w:highlight w:val="none"/>
          <w:lang w:eastAsia="zh-CN"/>
        </w:rPr>
        <w:t>；二是</w:t>
      </w:r>
      <w:r>
        <w:rPr>
          <w:rFonts w:hint="default" w:ascii="Times New Roman" w:hAnsi="Times New Roman" w:eastAsia="仿宋_GB2312" w:cs="Times New Roman"/>
          <w:sz w:val="30"/>
          <w:szCs w:val="30"/>
          <w:highlight w:val="none"/>
          <w:lang w:val="en-US" w:eastAsia="zh-CN"/>
        </w:rPr>
        <w:t>2025年收到“三代”手续费返还收入</w:t>
      </w:r>
      <w:r>
        <w:rPr>
          <w:rFonts w:hint="default" w:ascii="Times New Roman" w:hAnsi="Times New Roman" w:eastAsia="仿宋_GB2312" w:cs="Times New Roman"/>
          <w:color w:val="auto"/>
          <w:sz w:val="30"/>
          <w:lang w:val="zh-CN"/>
        </w:rPr>
        <w:t>230.08</w:t>
      </w:r>
      <w:r>
        <w:rPr>
          <w:rFonts w:hint="default" w:ascii="Times New Roman" w:hAnsi="Times New Roman" w:eastAsia="仿宋_GB2312" w:cs="Times New Roman"/>
          <w:sz w:val="30"/>
          <w:szCs w:val="30"/>
          <w:highlight w:val="none"/>
          <w:lang w:eastAsia="zh-CN"/>
        </w:rPr>
        <w:t>元。</w:t>
      </w:r>
    </w:p>
    <w:p>
      <w:pPr>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二、支出决算情况说明</w:t>
      </w:r>
    </w:p>
    <w:p>
      <w:pPr>
        <w:spacing w:line="600" w:lineRule="exact"/>
        <w:ind w:firstLine="600" w:firstLineChars="200"/>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color w:val="auto"/>
          <w:sz w:val="30"/>
          <w:lang w:val="zh-CN"/>
        </w:rPr>
        <w:t>云南省广播电视局德宏705台</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支出合计</w:t>
      </w:r>
      <w:r>
        <w:rPr>
          <w:rFonts w:hint="default" w:ascii="Times New Roman" w:hAnsi="Times New Roman" w:eastAsia="仿宋_GB2312" w:cs="Times New Roman"/>
          <w:color w:val="auto"/>
          <w:sz w:val="30"/>
          <w:lang w:val="zh-CN"/>
        </w:rPr>
        <w:t>3764671.11</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。其中：</w:t>
      </w:r>
      <w:r>
        <w:rPr>
          <w:rFonts w:hint="default" w:ascii="Times New Roman" w:hAnsi="Times New Roman" w:eastAsia="仿宋_GB2312" w:cs="Times New Roman"/>
          <w:kern w:val="0"/>
          <w:sz w:val="30"/>
          <w:szCs w:val="30"/>
          <w:highlight w:val="none"/>
        </w:rPr>
        <w:t>基本支出</w:t>
      </w:r>
      <w:r>
        <w:rPr>
          <w:rFonts w:hint="default" w:ascii="Times New Roman" w:hAnsi="Times New Roman" w:eastAsia="仿宋_GB2312" w:cs="Times New Roman"/>
          <w:color w:val="auto"/>
          <w:sz w:val="30"/>
          <w:lang w:val="zh-CN"/>
        </w:rPr>
        <w:t>3573471.11</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，占总支出的</w:t>
      </w:r>
      <w:r>
        <w:rPr>
          <w:rFonts w:hint="default" w:ascii="Times New Roman" w:hAnsi="Times New Roman" w:eastAsia="仿宋_GB2312" w:cs="Times New Roman"/>
          <w:color w:val="auto"/>
          <w:sz w:val="30"/>
          <w:lang w:val="zh-CN"/>
        </w:rPr>
        <w:t>94.92</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；项目支出</w:t>
      </w:r>
      <w:r>
        <w:rPr>
          <w:rFonts w:hint="default" w:ascii="Times New Roman" w:hAnsi="Times New Roman" w:eastAsia="仿宋_GB2312" w:cs="Times New Roman"/>
          <w:color w:val="auto"/>
          <w:sz w:val="30"/>
          <w:lang w:val="zh-CN"/>
        </w:rPr>
        <w:t>191200.00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，占总支出的</w:t>
      </w:r>
      <w:r>
        <w:rPr>
          <w:rFonts w:hint="default" w:ascii="Times New Roman" w:hAnsi="Times New Roman" w:eastAsia="仿宋_GB2312" w:cs="Times New Roman"/>
          <w:color w:val="auto"/>
          <w:sz w:val="30"/>
          <w:lang w:val="zh-CN"/>
        </w:rPr>
        <w:t>5.08</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；无上缴上级支出、经营支出、对附属单位补助支出。</w:t>
      </w:r>
    </w:p>
    <w:p>
      <w:pPr>
        <w:spacing w:line="600" w:lineRule="exact"/>
        <w:ind w:firstLine="600" w:firstLineChars="200"/>
        <w:rPr>
          <w:rFonts w:hint="default" w:ascii="Times New Roman" w:hAnsi="Times New Roman" w:eastAsia="仿宋_GB2312" w:cs="Times New Roman"/>
          <w:color w:val="FF0000"/>
          <w:sz w:val="30"/>
          <w:szCs w:val="30"/>
          <w:highlight w:val="none"/>
          <w:lang w:eastAsia="zh-CN"/>
        </w:rPr>
      </w:pPr>
      <w:r>
        <w:rPr>
          <w:rFonts w:hint="default" w:ascii="Times New Roman" w:hAnsi="Times New Roman" w:eastAsia="仿宋_GB2312" w:cs="Times New Roman"/>
          <w:sz w:val="30"/>
          <w:szCs w:val="30"/>
          <w:highlight w:val="none"/>
        </w:rPr>
        <w:t>与上年</w:t>
      </w:r>
      <w:r>
        <w:rPr>
          <w:rFonts w:hint="default" w:ascii="Times New Roman" w:hAnsi="Times New Roman" w:eastAsia="仿宋_GB2312" w:cs="Times New Roman"/>
          <w:sz w:val="30"/>
          <w:szCs w:val="30"/>
          <w:highlight w:val="none"/>
          <w:lang w:eastAsia="zh-CN"/>
        </w:rPr>
        <w:t>相比，支出</w:t>
      </w:r>
      <w:r>
        <w:rPr>
          <w:rFonts w:hint="default" w:ascii="Times New Roman" w:hAnsi="Times New Roman" w:eastAsia="仿宋_GB2312" w:cs="Times New Roman"/>
          <w:sz w:val="30"/>
          <w:szCs w:val="30"/>
          <w:highlight w:val="none"/>
        </w:rPr>
        <w:t>合计</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color w:val="auto"/>
          <w:sz w:val="30"/>
          <w:lang w:val="zh-CN"/>
        </w:rPr>
        <w:t>238242.53</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6.76</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w:t>
      </w:r>
      <w:r>
        <w:rPr>
          <w:rFonts w:hint="default" w:ascii="Times New Roman" w:hAnsi="Times New Roman" w:eastAsia="仿宋_GB2312" w:cs="Times New Roman"/>
          <w:kern w:val="0"/>
          <w:sz w:val="30"/>
          <w:szCs w:val="30"/>
          <w:highlight w:val="none"/>
        </w:rPr>
        <w:t>基本支出</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color w:val="auto"/>
          <w:sz w:val="30"/>
          <w:lang w:val="zh-CN"/>
        </w:rPr>
        <w:t>238842.53</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7.16</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；项目支出</w:t>
      </w:r>
      <w:r>
        <w:rPr>
          <w:rFonts w:hint="default" w:ascii="Times New Roman" w:hAnsi="Times New Roman" w:eastAsia="仿宋_GB2312" w:cs="Times New Roman"/>
          <w:sz w:val="30"/>
          <w:szCs w:val="30"/>
          <w:highlight w:val="none"/>
          <w:lang w:val="en-US" w:eastAsia="zh-CN"/>
        </w:rPr>
        <w:t>减少</w:t>
      </w:r>
      <w:r>
        <w:rPr>
          <w:rFonts w:hint="default" w:ascii="Times New Roman" w:hAnsi="Times New Roman" w:eastAsia="仿宋_GB2312" w:cs="Times New Roman"/>
          <w:color w:val="auto"/>
          <w:sz w:val="30"/>
          <w:lang w:val="zh-CN"/>
        </w:rPr>
        <w:t>600.00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lang w:val="en-US" w:eastAsia="zh-CN"/>
        </w:rPr>
        <w:t>下降</w:t>
      </w:r>
      <w:r>
        <w:rPr>
          <w:rFonts w:hint="default" w:ascii="Times New Roman" w:hAnsi="Times New Roman" w:eastAsia="仿宋_GB2312" w:cs="Times New Roman"/>
          <w:color w:val="auto"/>
          <w:sz w:val="30"/>
          <w:lang w:val="zh-CN"/>
        </w:rPr>
        <w:t>0.31</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主要原因</w:t>
      </w:r>
      <w:r>
        <w:rPr>
          <w:rFonts w:hint="default" w:ascii="Times New Roman" w:hAnsi="Times New Roman" w:eastAsia="仿宋_GB2312" w:cs="Times New Roman"/>
          <w:sz w:val="30"/>
          <w:szCs w:val="30"/>
          <w:highlight w:val="none"/>
          <w:lang w:eastAsia="zh-CN"/>
        </w:rPr>
        <w:t>是</w:t>
      </w:r>
      <w:r>
        <w:rPr>
          <w:rFonts w:hint="default" w:ascii="Times New Roman" w:hAnsi="Times New Roman" w:eastAsia="仿宋_GB2312" w:cs="Times New Roman"/>
          <w:sz w:val="30"/>
          <w:szCs w:val="30"/>
          <w:highlight w:val="none"/>
        </w:rPr>
        <w:t>单位人员变动引起的人员经费、公用经费</w:t>
      </w:r>
      <w:r>
        <w:rPr>
          <w:rFonts w:hint="default" w:ascii="Times New Roman" w:hAnsi="Times New Roman" w:eastAsia="仿宋_GB2312" w:cs="Times New Roman"/>
          <w:sz w:val="30"/>
          <w:szCs w:val="30"/>
          <w:highlight w:val="none"/>
          <w:lang w:eastAsia="zh-CN"/>
        </w:rPr>
        <w:t>支出</w:t>
      </w:r>
      <w:r>
        <w:rPr>
          <w:rFonts w:hint="default" w:ascii="Times New Roman" w:hAnsi="Times New Roman" w:eastAsia="仿宋_GB2312" w:cs="Times New Roman"/>
          <w:sz w:val="30"/>
          <w:szCs w:val="30"/>
          <w:highlight w:val="none"/>
        </w:rPr>
        <w:t>变动，属于合理范围内的正常变动。</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（一）基本支出情况</w:t>
      </w:r>
    </w:p>
    <w:p>
      <w:pPr>
        <w:widowControl/>
        <w:snapToGrid w:val="0"/>
        <w:spacing w:before="100" w:after="100" w:line="600" w:lineRule="exact"/>
        <w:ind w:firstLine="600" w:firstLineChars="200"/>
        <w:jc w:val="left"/>
        <w:rPr>
          <w:rFonts w:hint="default" w:ascii="Times New Roman" w:hAnsi="Times New Roman" w:eastAsia="仿宋_GB2312" w:cs="Times New Roman"/>
          <w:color w:val="FF0000"/>
          <w:sz w:val="30"/>
          <w:szCs w:val="30"/>
          <w:highlight w:val="none"/>
        </w:rPr>
      </w:pP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用于保障</w:t>
      </w:r>
      <w:r>
        <w:rPr>
          <w:rFonts w:hint="default" w:ascii="Times New Roman" w:hAnsi="Times New Roman" w:eastAsia="仿宋_GB2312" w:cs="Times New Roman"/>
          <w:color w:val="auto"/>
          <w:sz w:val="30"/>
          <w:lang w:val="zh-CN"/>
        </w:rPr>
        <w:t>云南省广播电视局德宏705台</w:t>
      </w:r>
      <w:r>
        <w:rPr>
          <w:rFonts w:hint="default" w:ascii="Times New Roman" w:hAnsi="Times New Roman" w:eastAsia="仿宋_GB2312" w:cs="Times New Roman"/>
          <w:sz w:val="30"/>
          <w:szCs w:val="30"/>
          <w:highlight w:val="none"/>
        </w:rPr>
        <w:t>机构正常运转的日常支出</w:t>
      </w:r>
      <w:r>
        <w:rPr>
          <w:rFonts w:hint="default" w:ascii="Times New Roman" w:hAnsi="Times New Roman" w:eastAsia="仿宋_GB2312" w:cs="Times New Roman"/>
          <w:color w:val="auto"/>
          <w:sz w:val="30"/>
          <w:lang w:val="zh-CN"/>
        </w:rPr>
        <w:t>3573471.11</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w:t>
      </w:r>
      <w:r>
        <w:rPr>
          <w:rFonts w:hint="default" w:ascii="Times New Roman" w:hAnsi="Times New Roman" w:eastAsia="仿宋_GB2312" w:cs="Times New Roman"/>
          <w:sz w:val="30"/>
          <w:szCs w:val="30"/>
          <w:highlight w:val="none"/>
        </w:rPr>
        <w:t>基本工资、津贴补贴等人员经费支出</w:t>
      </w:r>
      <w:r>
        <w:rPr>
          <w:rFonts w:hint="default" w:ascii="Times New Roman" w:hAnsi="Times New Roman" w:eastAsia="仿宋_GB2312" w:cs="Times New Roman"/>
          <w:color w:val="auto"/>
          <w:sz w:val="30"/>
          <w:lang w:val="zh-CN"/>
        </w:rPr>
        <w:t>3363109.25</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占基本支出的</w:t>
      </w:r>
      <w:r>
        <w:rPr>
          <w:rFonts w:hint="default" w:ascii="Times New Roman" w:hAnsi="Times New Roman" w:eastAsia="仿宋_GB2312" w:cs="Times New Roman"/>
          <w:color w:val="auto"/>
          <w:sz w:val="30"/>
          <w:lang w:val="zh-CN"/>
        </w:rPr>
        <w:t>94.11</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；办公费、印刷费、水电费、办公设备购置等公用经费</w:t>
      </w:r>
      <w:r>
        <w:rPr>
          <w:rFonts w:hint="default" w:ascii="Times New Roman" w:hAnsi="Times New Roman" w:eastAsia="仿宋_GB2312" w:cs="Times New Roman"/>
          <w:color w:val="auto"/>
          <w:sz w:val="30"/>
          <w:lang w:val="zh-CN"/>
        </w:rPr>
        <w:t>210361.86</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占基本支出的</w:t>
      </w:r>
      <w:r>
        <w:rPr>
          <w:rFonts w:hint="default" w:ascii="Times New Roman" w:hAnsi="Times New Roman" w:eastAsia="仿宋_GB2312" w:cs="Times New Roman"/>
          <w:color w:val="auto"/>
          <w:sz w:val="30"/>
          <w:lang w:val="zh-CN"/>
        </w:rPr>
        <w:t>5.89</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（202</w:t>
      </w:r>
      <w:r>
        <w:rPr>
          <w:rFonts w:hint="default" w:ascii="Times New Roman" w:hAnsi="Times New Roman" w:eastAsia="仿宋_GB2312" w:cs="Times New Roman"/>
          <w:sz w:val="30"/>
          <w:szCs w:val="30"/>
          <w:highlight w:val="none"/>
          <w:lang w:val="en-US" w:eastAsia="zh-CN"/>
        </w:rPr>
        <w:t>5</w:t>
      </w:r>
      <w:r>
        <w:rPr>
          <w:rFonts w:hint="default" w:ascii="Times New Roman" w:hAnsi="Times New Roman" w:eastAsia="仿宋_GB2312" w:cs="Times New Roman"/>
          <w:sz w:val="30"/>
          <w:szCs w:val="30"/>
          <w:highlight w:val="none"/>
          <w:lang w:eastAsia="zh-CN"/>
        </w:rPr>
        <w:t>年人均公用经费支出</w:t>
      </w:r>
      <w:r>
        <w:rPr>
          <w:rFonts w:hint="default" w:ascii="Times New Roman" w:hAnsi="Times New Roman" w:eastAsia="仿宋_GB2312" w:cs="Times New Roman"/>
          <w:sz w:val="30"/>
          <w:szCs w:val="30"/>
          <w:highlight w:val="none"/>
          <w:lang w:val="en-US" w:eastAsia="zh-CN"/>
        </w:rPr>
        <w:t>11686.77</w:t>
      </w:r>
      <w:r>
        <w:rPr>
          <w:rFonts w:hint="default" w:ascii="Times New Roman" w:hAnsi="Times New Roman" w:eastAsia="仿宋_GB2312" w:cs="Times New Roman"/>
          <w:sz w:val="30"/>
          <w:szCs w:val="30"/>
          <w:highlight w:val="none"/>
          <w:lang w:eastAsia="zh-CN"/>
        </w:rPr>
        <w:t>元）</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（二）项目支出情况</w:t>
      </w:r>
    </w:p>
    <w:p>
      <w:pPr>
        <w:keepNext w:val="0"/>
        <w:keepLines w:val="0"/>
        <w:pageBreakBefore w:val="0"/>
        <w:widowControl/>
        <w:kinsoku/>
        <w:wordWrap w:val="0"/>
        <w:overflowPunct/>
        <w:topLinePunct w:val="0"/>
        <w:autoSpaceDE/>
        <w:autoSpaceDN/>
        <w:bidi w:val="0"/>
        <w:adjustRightInd/>
        <w:snapToGrid w:val="0"/>
        <w:spacing w:before="100" w:after="100" w:line="600" w:lineRule="exact"/>
        <w:ind w:firstLine="600" w:firstLineChars="200"/>
        <w:jc w:val="both"/>
        <w:textAlignment w:val="auto"/>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用于保障</w:t>
      </w:r>
      <w:r>
        <w:rPr>
          <w:rFonts w:hint="default" w:ascii="Times New Roman" w:hAnsi="Times New Roman" w:eastAsia="仿宋_GB2312" w:cs="Times New Roman"/>
          <w:color w:val="auto"/>
          <w:sz w:val="30"/>
          <w:lang w:val="zh-CN"/>
        </w:rPr>
        <w:t>云南省广播电视局德宏705台</w:t>
      </w:r>
      <w:r>
        <w:rPr>
          <w:rFonts w:hint="default" w:ascii="Times New Roman" w:hAnsi="Times New Roman" w:eastAsia="仿宋_GB2312" w:cs="Times New Roman"/>
          <w:sz w:val="30"/>
          <w:szCs w:val="30"/>
          <w:highlight w:val="none"/>
        </w:rPr>
        <w:t>为完成特定的事业发展目标，用于专项业务工作的经费支出</w:t>
      </w:r>
      <w:r>
        <w:rPr>
          <w:rFonts w:hint="default" w:ascii="Times New Roman" w:hAnsi="Times New Roman" w:eastAsia="仿宋_GB2312" w:cs="Times New Roman"/>
          <w:color w:val="auto"/>
          <w:sz w:val="30"/>
          <w:lang w:val="zh-CN"/>
        </w:rPr>
        <w:t>191200.00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其中：基本建设类项目支出</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p>
    <w:p>
      <w:pPr>
        <w:keepNext w:val="0"/>
        <w:keepLines w:val="0"/>
        <w:pageBreakBefore w:val="0"/>
        <w:widowControl/>
        <w:kinsoku/>
        <w:wordWrap w:val="0"/>
        <w:overflowPunct/>
        <w:topLinePunct w:val="0"/>
        <w:autoSpaceDE/>
        <w:autoSpaceDN/>
        <w:bidi w:val="0"/>
        <w:adjustRightInd/>
        <w:snapToGrid w:val="0"/>
        <w:spacing w:before="100" w:after="100" w:line="600" w:lineRule="exact"/>
        <w:ind w:firstLine="600" w:firstLineChars="200"/>
        <w:jc w:val="both"/>
        <w:textAlignment w:val="auto"/>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rPr>
        <w:t>中央补助地方公共文化服务体系建设（无线覆盖模拟运维费）专项资金经费191</w:t>
      </w:r>
      <w:r>
        <w:rPr>
          <w:rFonts w:hint="default" w:ascii="Times New Roman" w:hAnsi="Times New Roman" w:eastAsia="仿宋_GB2312" w:cs="Times New Roman"/>
          <w:sz w:val="30"/>
          <w:szCs w:val="30"/>
          <w:highlight w:val="none"/>
          <w:lang w:val="en-US" w:eastAsia="zh-CN"/>
        </w:rPr>
        <w:t>2</w:t>
      </w:r>
      <w:r>
        <w:rPr>
          <w:rFonts w:hint="default" w:ascii="Times New Roman" w:hAnsi="Times New Roman" w:eastAsia="仿宋_GB2312" w:cs="Times New Roman"/>
          <w:sz w:val="30"/>
          <w:szCs w:val="30"/>
          <w:highlight w:val="none"/>
        </w:rPr>
        <w:t>00.00元，主要用于发射机及附属系统的日常运行维护支出。</w:t>
      </w:r>
    </w:p>
    <w:p>
      <w:pPr>
        <w:widowControl/>
        <w:snapToGrid w:val="0"/>
        <w:spacing w:before="100" w:after="100" w:line="600" w:lineRule="exact"/>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三、一般公共预算财政拨款支出决算情况说明</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（一）一般公共预算财政拨款支出决算总体情况</w:t>
      </w:r>
    </w:p>
    <w:p>
      <w:pPr>
        <w:widowControl/>
        <w:snapToGrid w:val="0"/>
        <w:spacing w:before="100" w:after="100" w:line="600" w:lineRule="exact"/>
        <w:ind w:firstLine="600" w:firstLineChars="200"/>
        <w:jc w:val="both"/>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color w:val="auto"/>
          <w:sz w:val="30"/>
          <w:lang w:val="zh-CN"/>
        </w:rPr>
        <w:t>云南省广播电视局德宏705台</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一般公共预算财政拨款支出</w:t>
      </w:r>
      <w:r>
        <w:rPr>
          <w:rFonts w:hint="default" w:ascii="Times New Roman" w:hAnsi="Times New Roman" w:eastAsia="仿宋_GB2312" w:cs="Times New Roman"/>
          <w:color w:val="auto"/>
          <w:kern w:val="0"/>
          <w:sz w:val="30"/>
          <w:lang w:val="zh-CN"/>
        </w:rPr>
        <w:t>3764441.03</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占本年支出合计的</w:t>
      </w:r>
      <w:r>
        <w:rPr>
          <w:rFonts w:hint="default" w:ascii="Times New Roman" w:hAnsi="Times New Roman" w:eastAsia="仿宋_GB2312" w:cs="Times New Roman"/>
          <w:color w:val="auto"/>
          <w:sz w:val="30"/>
          <w:lang w:val="zh-CN"/>
        </w:rPr>
        <w:t>99.99</w:t>
      </w:r>
      <w:r>
        <w:rPr>
          <w:rFonts w:hint="default" w:ascii="Times New Roman" w:hAnsi="Times New Roman" w:eastAsia="仿宋_GB2312" w:cs="Times New Roman"/>
          <w:kern w:val="0"/>
          <w:sz w:val="30"/>
          <w:szCs w:val="30"/>
          <w:highlight w:val="none"/>
        </w:rPr>
        <w:t>%。与上年</w:t>
      </w:r>
      <w:r>
        <w:rPr>
          <w:rFonts w:hint="default" w:ascii="Times New Roman" w:hAnsi="Times New Roman" w:eastAsia="仿宋_GB2312" w:cs="Times New Roman"/>
          <w:kern w:val="0"/>
          <w:sz w:val="30"/>
          <w:szCs w:val="30"/>
          <w:highlight w:val="none"/>
          <w:lang w:eastAsia="zh-CN"/>
        </w:rPr>
        <w:t>相比</w:t>
      </w:r>
      <w:r>
        <w:rPr>
          <w:rFonts w:hint="default" w:ascii="Times New Roman" w:hAnsi="Times New Roman" w:eastAsia="仿宋_GB2312" w:cs="Times New Roman"/>
          <w:kern w:val="0"/>
          <w:sz w:val="30"/>
          <w:szCs w:val="30"/>
          <w:highlight w:val="none"/>
        </w:rPr>
        <w:t>增加</w:t>
      </w:r>
      <w:r>
        <w:rPr>
          <w:rFonts w:hint="default" w:ascii="Times New Roman" w:hAnsi="Times New Roman" w:eastAsia="仿宋_GB2312" w:cs="Times New Roman"/>
          <w:color w:val="auto"/>
          <w:kern w:val="0"/>
          <w:sz w:val="30"/>
          <w:lang w:val="zh-CN"/>
        </w:rPr>
        <w:t>238012.45</w:t>
      </w:r>
      <w:r>
        <w:rPr>
          <w:rFonts w:hint="default" w:ascii="Times New Roman" w:hAnsi="Times New Roman" w:eastAsia="仿宋_GB2312" w:cs="Times New Roman"/>
          <w:kern w:val="0"/>
          <w:sz w:val="30"/>
          <w:szCs w:val="30"/>
          <w:highlight w:val="none"/>
        </w:rPr>
        <w:t>元，增长</w:t>
      </w:r>
      <w:r>
        <w:rPr>
          <w:rFonts w:hint="default" w:ascii="Times New Roman" w:hAnsi="Times New Roman" w:eastAsia="仿宋_GB2312" w:cs="Times New Roman"/>
          <w:color w:val="auto"/>
          <w:kern w:val="0"/>
          <w:sz w:val="30"/>
          <w:lang w:val="zh-CN"/>
        </w:rPr>
        <w:t>6.75</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sz w:val="30"/>
          <w:lang w:val="zh-CN"/>
        </w:rPr>
        <w:t>115.75</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kern w:val="0"/>
          <w:sz w:val="30"/>
          <w:szCs w:val="30"/>
          <w:highlight w:val="none"/>
        </w:rPr>
        <w:t>。</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（二）一般公共预算财政拨款支出决算</w:t>
      </w:r>
      <w:r>
        <w:rPr>
          <w:rFonts w:hint="default" w:ascii="Times New Roman" w:hAnsi="Times New Roman" w:eastAsia="楷体" w:cs="Times New Roman"/>
          <w:sz w:val="30"/>
          <w:szCs w:val="30"/>
          <w:highlight w:val="none"/>
          <w:lang w:eastAsia="zh-CN"/>
        </w:rPr>
        <w:t>分功能分类科目情况</w:t>
      </w:r>
      <w:r>
        <w:rPr>
          <w:rFonts w:hint="default" w:ascii="Times New Roman" w:hAnsi="Times New Roman" w:eastAsia="楷体" w:cs="Times New Roman"/>
          <w:sz w:val="30"/>
          <w:szCs w:val="30"/>
          <w:highlight w:val="none"/>
        </w:rPr>
        <w:tab/>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kern w:val="0"/>
          <w:sz w:val="30"/>
          <w:szCs w:val="30"/>
          <w:highlight w:val="none"/>
        </w:rPr>
        <w:t>1.一般公共服务（类）支出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kern w:val="0"/>
          <w:sz w:val="30"/>
          <w:szCs w:val="30"/>
          <w:highlight w:val="none"/>
        </w:rPr>
        <w:t>2.外交（类）支出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kern w:val="0"/>
          <w:sz w:val="30"/>
          <w:szCs w:val="30"/>
          <w:highlight w:val="none"/>
        </w:rPr>
        <w:t>3.国防（类）支出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kern w:val="0"/>
          <w:sz w:val="30"/>
          <w:szCs w:val="30"/>
          <w:highlight w:val="none"/>
        </w:rPr>
        <w:t>4.公共安全（类）支出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color w:val="auto"/>
          <w:kern w:val="0"/>
          <w:sz w:val="30"/>
          <w:lang w:val="en-US"/>
        </w:rPr>
        <w:t>5.教育（类）支出</w:t>
      </w:r>
      <w:r>
        <w:rPr>
          <w:rFonts w:hint="default" w:ascii="Times New Roman" w:hAnsi="Times New Roman" w:eastAsia="仿宋_GB2312" w:cs="Times New Roman"/>
          <w:color w:val="auto"/>
          <w:kern w:val="0"/>
          <w:sz w:val="30"/>
          <w:lang w:val="en-US" w:eastAsia="zh-CN"/>
        </w:rPr>
        <w:t>0.00</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lang w:val="en-US" w:eastAsia="zh-CN"/>
        </w:rPr>
        <w:t>0.00</w:t>
      </w:r>
      <w:r>
        <w:rPr>
          <w:rFonts w:hint="default" w:ascii="Times New Roman" w:hAnsi="Times New Roman" w:eastAsia="仿宋_GB2312" w:cs="Times New Roman"/>
          <w:color w:val="auto"/>
          <w:sz w:val="30"/>
          <w:lang w:val="en-US"/>
        </w:rPr>
        <w:t>%</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color w:val="auto"/>
          <w:kern w:val="0"/>
          <w:sz w:val="30"/>
          <w:lang w:val="en-US"/>
        </w:rPr>
        <w:t>6.科学技术（类）支出</w:t>
      </w:r>
      <w:r>
        <w:rPr>
          <w:rFonts w:hint="default" w:ascii="Times New Roman" w:hAnsi="Times New Roman" w:eastAsia="仿宋_GB2312" w:cs="Times New Roman"/>
          <w:color w:val="auto"/>
          <w:kern w:val="0"/>
          <w:sz w:val="30"/>
          <w:lang w:val="en-US" w:eastAsia="zh-CN"/>
        </w:rPr>
        <w:t>0.00</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lang w:val="en-US" w:eastAsia="zh-CN"/>
        </w:rPr>
        <w:t>0.00</w:t>
      </w:r>
      <w:r>
        <w:rPr>
          <w:rFonts w:hint="default" w:ascii="Times New Roman" w:hAnsi="Times New Roman" w:eastAsia="仿宋_GB2312" w:cs="Times New Roman"/>
          <w:color w:val="auto"/>
          <w:sz w:val="30"/>
          <w:lang w:val="en-US"/>
        </w:rPr>
        <w:t>%</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spacing w:before="100" w:after="100" w:line="360" w:lineRule="auto"/>
        <w:ind w:firstLine="600" w:firstLineChars="0"/>
        <w:jc w:val="both"/>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color w:val="auto"/>
          <w:kern w:val="0"/>
          <w:sz w:val="30"/>
          <w:lang w:val="en-US"/>
        </w:rPr>
        <w:t>7.文化旅游体育与传媒（类）支出</w:t>
      </w:r>
      <w:r>
        <w:rPr>
          <w:rFonts w:hint="default" w:ascii="Times New Roman" w:hAnsi="Times New Roman" w:eastAsia="仿宋_GB2312" w:cs="Times New Roman"/>
          <w:color w:val="auto"/>
          <w:kern w:val="0"/>
          <w:sz w:val="30"/>
          <w:lang w:val="en-US" w:eastAsia="zh-CN"/>
        </w:rPr>
        <w:t>2891616.74</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lang w:val="en-US" w:eastAsia="zh-CN"/>
        </w:rPr>
        <w:t>76.81</w:t>
      </w:r>
      <w:r>
        <w:rPr>
          <w:rFonts w:hint="default" w:ascii="Times New Roman" w:hAnsi="Times New Roman" w:eastAsia="仿宋_GB2312" w:cs="Times New Roman"/>
          <w:color w:val="auto"/>
          <w:sz w:val="30"/>
          <w:lang w:val="en-US"/>
        </w:rPr>
        <w:t>%</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117.19</w:t>
      </w:r>
      <w:r>
        <w:rPr>
          <w:rFonts w:hint="default" w:ascii="Times New Roman" w:hAnsi="Times New Roman" w:eastAsia="仿宋_GB2312" w:cs="Times New Roman"/>
          <w:sz w:val="30"/>
          <w:szCs w:val="30"/>
          <w:highlight w:val="none"/>
          <w:lang w:val="en-US" w:eastAsia="zh-CN"/>
        </w:rPr>
        <w:t>%。主要用于单位人员工资福利、商品和服务支出及中央补助地方公共文化服务体系建设（无线覆盖模拟运维费）专项资金；造成预决算差异的主要原因是</w:t>
      </w:r>
      <w:r>
        <w:rPr>
          <w:rFonts w:hint="default" w:ascii="Times New Roman" w:hAnsi="Times New Roman" w:eastAsia="仿宋_GB2312" w:cs="Times New Roman"/>
          <w:color w:val="auto"/>
          <w:kern w:val="0"/>
          <w:sz w:val="30"/>
          <w:lang w:val="en-US"/>
        </w:rPr>
        <w:t>单位人员</w:t>
      </w:r>
      <w:r>
        <w:rPr>
          <w:rFonts w:hint="default" w:ascii="Times New Roman" w:hAnsi="Times New Roman" w:eastAsia="仿宋_GB2312" w:cs="Times New Roman"/>
          <w:color w:val="auto"/>
          <w:kern w:val="0"/>
          <w:sz w:val="30"/>
          <w:lang w:val="en-US" w:eastAsia="zh-CN"/>
        </w:rPr>
        <w:t>岗位</w:t>
      </w:r>
      <w:r>
        <w:rPr>
          <w:rFonts w:hint="default" w:ascii="Times New Roman" w:hAnsi="Times New Roman" w:eastAsia="仿宋_GB2312" w:cs="Times New Roman"/>
          <w:color w:val="auto"/>
          <w:kern w:val="0"/>
          <w:sz w:val="30"/>
          <w:lang w:val="en-US"/>
        </w:rPr>
        <w:t>变动</w:t>
      </w:r>
      <w:r>
        <w:rPr>
          <w:rFonts w:hint="default" w:ascii="Times New Roman" w:hAnsi="Times New Roman" w:eastAsia="仿宋_GB2312" w:cs="Times New Roman"/>
          <w:color w:val="auto"/>
          <w:kern w:val="0"/>
          <w:sz w:val="30"/>
          <w:lang w:val="en-US" w:eastAsia="zh-CN"/>
        </w:rPr>
        <w:t>及基本工资调标</w:t>
      </w:r>
      <w:r>
        <w:rPr>
          <w:rFonts w:hint="default" w:ascii="Times New Roman" w:hAnsi="Times New Roman" w:eastAsia="仿宋_GB2312" w:cs="Times New Roman"/>
          <w:color w:val="auto"/>
          <w:kern w:val="0"/>
          <w:sz w:val="30"/>
          <w:lang w:val="en-US"/>
        </w:rPr>
        <w:t>引起的人员经费</w:t>
      </w:r>
      <w:r>
        <w:rPr>
          <w:rFonts w:hint="default" w:ascii="Times New Roman" w:hAnsi="Times New Roman" w:eastAsia="仿宋_GB2312" w:cs="Times New Roman"/>
          <w:color w:val="auto"/>
          <w:kern w:val="0"/>
          <w:sz w:val="30"/>
          <w:lang w:val="en-US" w:eastAsia="zh-CN"/>
        </w:rPr>
        <w:t>动态调整</w:t>
      </w:r>
      <w:r>
        <w:rPr>
          <w:rFonts w:hint="default" w:ascii="Times New Roman" w:hAnsi="Times New Roman" w:eastAsia="仿宋_GB2312" w:cs="Times New Roman"/>
          <w:color w:val="auto"/>
          <w:kern w:val="0"/>
          <w:sz w:val="30"/>
          <w:lang w:val="en-US"/>
        </w:rPr>
        <w:t>，属于合理范围内的正常变动。</w:t>
      </w:r>
    </w:p>
    <w:p>
      <w:pPr>
        <w:spacing w:before="100" w:after="100" w:line="360" w:lineRule="auto"/>
        <w:ind w:firstLine="600"/>
        <w:jc w:val="both"/>
        <w:rPr>
          <w:rFonts w:hint="default" w:ascii="Times New Roman" w:hAnsi="Times New Roman" w:eastAsia="仿宋_GB2312" w:cs="Times New Roman"/>
          <w:color w:val="auto"/>
          <w:kern w:val="0"/>
          <w:sz w:val="30"/>
          <w:lang w:val="en-US" w:eastAsia="zh-CN"/>
        </w:rPr>
      </w:pPr>
      <w:r>
        <w:rPr>
          <w:rFonts w:hint="default" w:ascii="Times New Roman" w:hAnsi="Times New Roman" w:eastAsia="仿宋_GB2312" w:cs="Times New Roman"/>
          <w:color w:val="auto"/>
          <w:kern w:val="0"/>
          <w:sz w:val="30"/>
          <w:lang w:val="en-US"/>
        </w:rPr>
        <w:t>8.社会保障和就业（类）支出</w:t>
      </w:r>
      <w:r>
        <w:rPr>
          <w:rFonts w:hint="default" w:ascii="Times New Roman" w:hAnsi="Times New Roman" w:eastAsia="仿宋_GB2312" w:cs="Times New Roman"/>
          <w:color w:val="auto"/>
          <w:kern w:val="0"/>
          <w:sz w:val="30"/>
          <w:lang w:val="en-US" w:eastAsia="zh-CN"/>
        </w:rPr>
        <w:t>394486.69</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lang w:val="en-US" w:eastAsia="zh-CN"/>
        </w:rPr>
        <w:t>10.48</w:t>
      </w:r>
      <w:r>
        <w:rPr>
          <w:rFonts w:hint="default" w:ascii="Times New Roman" w:hAnsi="Times New Roman" w:eastAsia="仿宋_GB2312" w:cs="Times New Roman"/>
          <w:color w:val="auto"/>
          <w:sz w:val="30"/>
          <w:lang w:val="en-US"/>
        </w:rPr>
        <w:t>%</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120.44</w:t>
      </w:r>
      <w:r>
        <w:rPr>
          <w:rFonts w:hint="default" w:ascii="Times New Roman" w:hAnsi="Times New Roman" w:eastAsia="仿宋_GB2312" w:cs="Times New Roman"/>
          <w:sz w:val="30"/>
          <w:szCs w:val="30"/>
          <w:highlight w:val="none"/>
          <w:lang w:val="en-US" w:eastAsia="zh-CN"/>
        </w:rPr>
        <w:t>%。主要用于单位退休人员公用经费支出及机关事业单位养老保险等社保支出。造成预决算差异的主要原因是</w:t>
      </w:r>
      <w:r>
        <w:rPr>
          <w:rFonts w:hint="default" w:ascii="Times New Roman" w:hAnsi="Times New Roman" w:eastAsia="仿宋_GB2312" w:cs="Times New Roman"/>
          <w:color w:val="auto"/>
          <w:sz w:val="30"/>
          <w:lang w:val="en-US" w:eastAsia="zh-CN"/>
        </w:rPr>
        <w:t>单位基本养老保险基数调整导致的支出增加，</w:t>
      </w:r>
      <w:r>
        <w:rPr>
          <w:rFonts w:hint="default" w:ascii="Times New Roman" w:hAnsi="Times New Roman" w:eastAsia="仿宋_GB2312" w:cs="Times New Roman"/>
          <w:color w:val="auto"/>
          <w:kern w:val="0"/>
          <w:sz w:val="30"/>
          <w:lang w:val="en-US"/>
        </w:rPr>
        <w:t>属于合理范围内的正常变动。</w:t>
      </w:r>
    </w:p>
    <w:p>
      <w:pPr>
        <w:widowControl/>
        <w:snapToGrid/>
        <w:spacing w:before="100" w:after="100" w:line="360" w:lineRule="auto"/>
        <w:ind w:firstLine="600" w:firstLineChars="0"/>
        <w:jc w:val="both"/>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color w:val="auto"/>
          <w:kern w:val="0"/>
          <w:sz w:val="30"/>
          <w:lang w:val="en-US"/>
        </w:rPr>
        <w:t>9.卫生健康（类）支出</w:t>
      </w:r>
      <w:r>
        <w:rPr>
          <w:rFonts w:hint="default" w:ascii="Times New Roman" w:hAnsi="Times New Roman" w:eastAsia="仿宋_GB2312" w:cs="Times New Roman"/>
          <w:color w:val="auto"/>
          <w:kern w:val="0"/>
          <w:sz w:val="30"/>
          <w:lang w:val="zh-CN"/>
        </w:rPr>
        <w:t>225009.80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5.98</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100.00</w:t>
      </w:r>
      <w:r>
        <w:rPr>
          <w:rFonts w:hint="default" w:ascii="Times New Roman" w:hAnsi="Times New Roman" w:eastAsia="仿宋_GB2312" w:cs="Times New Roman"/>
          <w:sz w:val="30"/>
          <w:szCs w:val="30"/>
          <w:highlight w:val="none"/>
          <w:lang w:val="en-US" w:eastAsia="zh-CN"/>
        </w:rPr>
        <w:t>%。主要用于在职人员医疗社保支出。造成预决算差异的主要原因是</w:t>
      </w:r>
      <w:r>
        <w:rPr>
          <w:rFonts w:hint="default" w:ascii="Times New Roman" w:hAnsi="Times New Roman" w:eastAsia="仿宋_GB2312" w:cs="Times New Roman"/>
          <w:sz w:val="30"/>
          <w:szCs w:val="30"/>
          <w:highlight w:val="none"/>
          <w:lang w:eastAsia="zh-CN"/>
        </w:rPr>
        <w:t>单位医疗保险缴费基数调整导致的支出增加，</w:t>
      </w:r>
      <w:r>
        <w:rPr>
          <w:rFonts w:hint="default" w:ascii="Times New Roman" w:hAnsi="Times New Roman" w:eastAsia="仿宋_GB2312" w:cs="Times New Roman"/>
          <w:color w:val="auto"/>
          <w:kern w:val="0"/>
          <w:sz w:val="30"/>
          <w:lang w:val="en-US"/>
        </w:rPr>
        <w:t>属于合理范围内的正常变动。</w:t>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color w:val="auto"/>
          <w:kern w:val="0"/>
          <w:sz w:val="30"/>
          <w:lang w:val="en-US"/>
        </w:rPr>
        <w:t>10.节能环保（类）支出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11.城乡社区（类）支出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12.农林水（类）支出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13.交通运输（类）支出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14.资源勘探工业信息等（类）支出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15.商业服务业等（类）支出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16.金融（类）支出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17.援助其他地区（类）支出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18.自然资源海洋气象等（类）支出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spacing w:before="100" w:after="100" w:line="360" w:lineRule="auto"/>
        <w:ind w:firstLine="600"/>
        <w:jc w:val="both"/>
        <w:rPr>
          <w:rFonts w:hint="default" w:ascii="Times New Roman" w:hAnsi="Times New Roman" w:eastAsia="仿宋_GB2312" w:cs="Times New Roman"/>
          <w:color w:val="auto"/>
          <w:kern w:val="0"/>
          <w:sz w:val="30"/>
          <w:lang w:val="en-US"/>
        </w:rPr>
      </w:pPr>
      <w:r>
        <w:rPr>
          <w:rFonts w:hint="default" w:ascii="Times New Roman" w:hAnsi="Times New Roman" w:eastAsia="仿宋_GB2312" w:cs="Times New Roman"/>
          <w:color w:val="auto"/>
          <w:kern w:val="0"/>
          <w:sz w:val="30"/>
          <w:lang w:val="en-US"/>
        </w:rPr>
        <w:t>19.住房保障（类）支出</w:t>
      </w:r>
      <w:r>
        <w:rPr>
          <w:rFonts w:hint="default" w:ascii="Times New Roman" w:hAnsi="Times New Roman" w:eastAsia="仿宋_GB2312" w:cs="Times New Roman"/>
          <w:color w:val="auto"/>
          <w:kern w:val="0"/>
          <w:sz w:val="30"/>
          <w:lang w:val="zh-CN"/>
        </w:rPr>
        <w:t>253327.80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6.73</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109.08</w:t>
      </w:r>
      <w:r>
        <w:rPr>
          <w:rFonts w:hint="default" w:ascii="Times New Roman" w:hAnsi="Times New Roman" w:eastAsia="仿宋_GB2312" w:cs="Times New Roman"/>
          <w:sz w:val="30"/>
          <w:szCs w:val="30"/>
          <w:highlight w:val="none"/>
          <w:lang w:val="en-US" w:eastAsia="zh-CN"/>
        </w:rPr>
        <w:t>%。主要用于单位住房公积金支出。造成预决算差异的主要原因是</w:t>
      </w:r>
      <w:r>
        <w:rPr>
          <w:rFonts w:hint="default" w:ascii="Times New Roman" w:hAnsi="Times New Roman" w:eastAsia="仿宋_GB2312" w:cs="Times New Roman"/>
          <w:sz w:val="30"/>
          <w:szCs w:val="30"/>
          <w:highlight w:val="none"/>
          <w:lang w:eastAsia="zh-CN"/>
        </w:rPr>
        <w:t>单位住房公积金缴费基数调整导致的支出增加，</w:t>
      </w:r>
      <w:r>
        <w:rPr>
          <w:rFonts w:hint="default" w:ascii="Times New Roman" w:hAnsi="Times New Roman" w:eastAsia="仿宋_GB2312" w:cs="Times New Roman"/>
          <w:color w:val="auto"/>
          <w:kern w:val="0"/>
          <w:sz w:val="30"/>
          <w:lang w:val="en-US"/>
        </w:rPr>
        <w:t>属于合理范围内的正常变动。</w:t>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lang w:val="en-US" w:eastAsia="zh-CN"/>
        </w:rPr>
      </w:pP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20.粮油物资储备（类）支出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21.国有资本经营预算（类）支出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22.灾害防治及应急管理（类）支出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23.其他（类）支出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24.债务还本（类）支出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25.债务付息（类）支出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26.抗疫特别国债安排（类）支出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numPr>
          <w:ilvl w:val="0"/>
          <w:numId w:val="2"/>
        </w:numPr>
        <w:snapToGrid w:val="0"/>
        <w:spacing w:before="100" w:after="100" w:line="360" w:lineRule="auto"/>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outlineLvl w:val="2"/>
        <w:rPr>
          <w:rFonts w:hint="default" w:ascii="Times New Roman" w:hAnsi="Times New Roman" w:eastAsia="楷体_GB2312" w:cs="Times New Roman"/>
          <w:kern w:val="0"/>
          <w:sz w:val="30"/>
          <w:szCs w:val="30"/>
          <w:highlight w:val="none"/>
          <w:lang w:val="en-US" w:eastAsia="zh-CN"/>
        </w:rPr>
      </w:pPr>
      <w:r>
        <w:rPr>
          <w:rFonts w:hint="default" w:ascii="Times New Roman" w:hAnsi="Times New Roman" w:eastAsia="楷体_GB2312" w:cs="Times New Roman"/>
          <w:kern w:val="0"/>
          <w:sz w:val="30"/>
          <w:szCs w:val="30"/>
          <w:highlight w:val="none"/>
          <w:lang w:val="en-US" w:eastAsia="zh-CN"/>
        </w:rPr>
        <w:t>（一）总体情况</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kern w:val="0"/>
          <w:sz w:val="30"/>
          <w:szCs w:val="30"/>
          <w:highlight w:val="none"/>
          <w:lang w:val="en-US" w:eastAsia="zh-CN"/>
        </w:rPr>
      </w:pPr>
      <w:r>
        <w:rPr>
          <w:rFonts w:hint="default" w:ascii="Times New Roman" w:hAnsi="Times New Roman" w:eastAsia="仿宋_GB2312" w:cs="Times New Roman"/>
          <w:kern w:val="0"/>
          <w:sz w:val="30"/>
          <w:szCs w:val="30"/>
          <w:highlight w:val="none"/>
          <w:lang w:val="en-US" w:eastAsia="zh-CN"/>
        </w:rPr>
        <w:t>2025年度</w:t>
      </w:r>
      <w:r>
        <w:rPr>
          <w:rFonts w:hint="default" w:ascii="Times New Roman" w:hAnsi="Times New Roman" w:eastAsia="仿宋_GB2312" w:cs="Times New Roman"/>
          <w:kern w:val="0"/>
          <w:sz w:val="30"/>
          <w:szCs w:val="30"/>
          <w:highlight w:val="none"/>
        </w:rPr>
        <w:t>财政拨款“三公”经费支出决算中，财政拨款“三公”经费支出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kern w:val="0"/>
          <w:sz w:val="30"/>
          <w:lang w:val="en-US" w:eastAsia="zh-CN"/>
        </w:rPr>
        <w:t>5000.00</w:t>
      </w:r>
      <w:r>
        <w:rPr>
          <w:rFonts w:hint="default" w:ascii="Times New Roman" w:hAnsi="Times New Roman" w:eastAsia="仿宋_GB2312" w:cs="Times New Roman"/>
          <w:kern w:val="0"/>
          <w:sz w:val="30"/>
          <w:szCs w:val="30"/>
          <w:highlight w:val="none"/>
        </w:rPr>
        <w:t>元，决算为</w:t>
      </w:r>
      <w:r>
        <w:rPr>
          <w:rFonts w:hint="default" w:ascii="Times New Roman" w:hAnsi="Times New Roman" w:eastAsia="仿宋_GB2312" w:cs="Times New Roman"/>
          <w:color w:val="000000"/>
          <w:sz w:val="30"/>
          <w:lang w:val="zh-CN"/>
        </w:rPr>
        <w:t>310.00</w:t>
      </w:r>
      <w:r>
        <w:rPr>
          <w:rFonts w:hint="default" w:ascii="Times New Roman" w:hAnsi="Times New Roman" w:eastAsia="仿宋_GB2312" w:cs="Times New Roman"/>
          <w:kern w:val="0"/>
          <w:sz w:val="30"/>
          <w:szCs w:val="30"/>
          <w:highlight w:val="none"/>
        </w:rPr>
        <w:t>元，完成</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预算的</w:t>
      </w:r>
      <w:r>
        <w:rPr>
          <w:rFonts w:hint="default" w:ascii="Times New Roman" w:hAnsi="Times New Roman" w:eastAsia="仿宋_GB2312" w:cs="Times New Roman"/>
          <w:color w:val="000000"/>
          <w:sz w:val="30"/>
          <w:lang w:val="zh-CN"/>
        </w:rPr>
        <w:t>6.20</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，支出决算较上年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1987.00</w:t>
      </w:r>
      <w:r>
        <w:rPr>
          <w:rFonts w:hint="default" w:ascii="Times New Roman" w:hAnsi="Times New Roman" w:eastAsia="仿宋_GB2312" w:cs="Times New Roman"/>
          <w:kern w:val="0"/>
          <w:sz w:val="30"/>
          <w:szCs w:val="30"/>
          <w:highlight w:val="none"/>
          <w:lang w:val="en-US" w:eastAsia="zh-CN"/>
        </w:rPr>
        <w:t>元，下降</w:t>
      </w:r>
      <w:r>
        <w:rPr>
          <w:rFonts w:hint="default" w:ascii="Times New Roman" w:hAnsi="Times New Roman" w:eastAsia="仿宋_GB2312" w:cs="Times New Roman"/>
          <w:color w:val="000000"/>
          <w:sz w:val="30"/>
          <w:lang w:val="zh-CN"/>
        </w:rPr>
        <w:t>86.50</w:t>
      </w:r>
      <w:r>
        <w:rPr>
          <w:rFonts w:hint="default" w:ascii="Times New Roman" w:hAnsi="Times New Roman" w:eastAsia="仿宋_GB2312" w:cs="Times New Roman"/>
          <w:kern w:val="0"/>
          <w:sz w:val="30"/>
          <w:szCs w:val="30"/>
          <w:highlight w:val="no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kern w:val="0"/>
          <w:sz w:val="30"/>
          <w:szCs w:val="30"/>
          <w:highlight w:val="none"/>
          <w:lang w:val="en-US" w:eastAsia="zh-CN"/>
        </w:rPr>
      </w:pPr>
      <w:r>
        <w:rPr>
          <w:rFonts w:hint="default" w:ascii="Times New Roman" w:hAnsi="Times New Roman" w:eastAsia="仿宋_GB2312" w:cs="Times New Roman"/>
          <w:kern w:val="0"/>
          <w:sz w:val="30"/>
          <w:szCs w:val="30"/>
          <w:highlight w:val="none"/>
        </w:rPr>
        <w:t>一般公共预算财政拨款“三公”经费支出中：因公出国（境）</w:t>
      </w:r>
      <w:r>
        <w:rPr>
          <w:rFonts w:hint="default" w:ascii="Times New Roman" w:hAnsi="Times New Roman" w:eastAsia="仿宋_GB2312" w:cs="Times New Roman"/>
          <w:kern w:val="0"/>
          <w:sz w:val="30"/>
          <w:szCs w:val="30"/>
          <w:highlight w:val="none"/>
          <w:lang w:eastAsia="zh-CN"/>
        </w:rPr>
        <w:t>费用</w:t>
      </w:r>
      <w:r>
        <w:rPr>
          <w:rFonts w:hint="default" w:ascii="Times New Roman" w:hAnsi="Times New Roman" w:eastAsia="仿宋_GB2312" w:cs="Times New Roman"/>
          <w:kern w:val="0"/>
          <w:sz w:val="30"/>
          <w:szCs w:val="30"/>
          <w:highlight w:val="none"/>
        </w:rPr>
        <w:t>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%；公务用车购置费支出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%；公务用车</w:t>
      </w:r>
      <w:r>
        <w:rPr>
          <w:rFonts w:hint="default" w:ascii="Times New Roman" w:hAnsi="Times New Roman" w:eastAsia="仿宋_GB2312" w:cs="Times New Roman"/>
          <w:kern w:val="0"/>
          <w:sz w:val="30"/>
          <w:szCs w:val="30"/>
          <w:highlight w:val="none"/>
          <w:lang w:eastAsia="zh-CN"/>
        </w:rPr>
        <w:t>运行维护</w:t>
      </w:r>
      <w:r>
        <w:rPr>
          <w:rFonts w:hint="default" w:ascii="Times New Roman" w:hAnsi="Times New Roman" w:eastAsia="仿宋_GB2312" w:cs="Times New Roman"/>
          <w:kern w:val="0"/>
          <w:sz w:val="30"/>
          <w:szCs w:val="30"/>
          <w:highlight w:val="none"/>
        </w:rPr>
        <w:t>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rPr>
        <w:t>公务接待费支出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5000.00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310.00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100.00</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，完成年初预算的</w:t>
      </w:r>
      <w:r>
        <w:rPr>
          <w:rFonts w:hint="default" w:ascii="Times New Roman" w:hAnsi="Times New Roman" w:eastAsia="仿宋_GB2312" w:cs="Times New Roman"/>
          <w:color w:val="000000"/>
          <w:sz w:val="30"/>
          <w:lang w:val="zh-CN"/>
        </w:rPr>
        <w:t>6.20</w:t>
      </w:r>
      <w:r>
        <w:rPr>
          <w:rFonts w:hint="default" w:ascii="Times New Roman" w:hAnsi="Times New Roman" w:eastAsia="仿宋_GB2312" w:cs="Times New Roman"/>
          <w:kern w:val="0"/>
          <w:sz w:val="30"/>
          <w:szCs w:val="30"/>
          <w:highlight w:val="none"/>
          <w:lang w:val="en-US" w:eastAsia="zh-CN"/>
        </w:rPr>
        <w:t>%。2025年度一般公共预算财政拨款“三公”经费支出决算数小于年初预算数的主要原因是落实政府过“紧日子”要求，严控“三公”经费支出，减少不必要的业务接待支出。</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kern w:val="0"/>
          <w:sz w:val="28"/>
          <w:szCs w:val="28"/>
          <w:highlight w:val="none"/>
          <w:lang w:eastAsia="zh-CN"/>
        </w:rPr>
      </w:pPr>
      <w:r>
        <w:rPr>
          <w:rFonts w:hint="default" w:ascii="Times New Roman" w:hAnsi="Times New Roman" w:eastAsia="仿宋_GB2312" w:cs="Times New Roman"/>
          <w:sz w:val="30"/>
          <w:szCs w:val="30"/>
          <w:highlight w:val="none"/>
        </w:rPr>
        <w:t>一般公共预算财政拨款“三公”经费支出中：因公出国（境）费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kern w:val="0"/>
          <w:sz w:val="30"/>
          <w:szCs w:val="30"/>
          <w:highlight w:val="none"/>
          <w:lang w:eastAsia="zh-CN"/>
        </w:rPr>
        <w:t>支出决算较上年减少</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val="en-US" w:eastAsia="zh-CN"/>
        </w:rPr>
        <w:t>元，上年无此项支出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sz w:val="30"/>
          <w:szCs w:val="30"/>
          <w:highlight w:val="none"/>
        </w:rPr>
        <w:t>公务用车购置费</w:t>
      </w:r>
      <w:r>
        <w:rPr>
          <w:rFonts w:hint="default" w:ascii="Times New Roman" w:hAnsi="Times New Roman" w:eastAsia="仿宋_GB2312" w:cs="Times New Roman"/>
          <w:kern w:val="0"/>
          <w:sz w:val="30"/>
          <w:szCs w:val="30"/>
          <w:highlight w:val="none"/>
          <w:lang w:eastAsia="zh-CN"/>
        </w:rPr>
        <w:t>支出决算较上年减少</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val="en-US" w:eastAsia="zh-CN"/>
        </w:rPr>
        <w:t>元，上年无此项支出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sz w:val="30"/>
          <w:szCs w:val="30"/>
          <w:highlight w:val="none"/>
        </w:rPr>
        <w:t>公务用车</w:t>
      </w:r>
      <w:r>
        <w:rPr>
          <w:rFonts w:hint="default" w:ascii="Times New Roman" w:hAnsi="Times New Roman" w:eastAsia="仿宋_GB2312" w:cs="Times New Roman"/>
          <w:sz w:val="30"/>
          <w:szCs w:val="30"/>
          <w:highlight w:val="none"/>
          <w:lang w:eastAsia="zh-CN"/>
        </w:rPr>
        <w:t>运行维护费</w:t>
      </w:r>
      <w:r>
        <w:rPr>
          <w:rFonts w:hint="default" w:ascii="Times New Roman" w:hAnsi="Times New Roman" w:eastAsia="仿宋_GB2312" w:cs="Times New Roman"/>
          <w:kern w:val="0"/>
          <w:sz w:val="30"/>
          <w:szCs w:val="30"/>
          <w:highlight w:val="none"/>
          <w:lang w:eastAsia="zh-CN"/>
        </w:rPr>
        <w:t>支出决算较上年减少</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val="en-US" w:eastAsia="zh-CN"/>
        </w:rPr>
        <w:t>元，上年无此项支出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sz w:val="30"/>
          <w:szCs w:val="30"/>
          <w:highlight w:val="none"/>
        </w:rPr>
        <w:t>公务接待费</w:t>
      </w:r>
      <w:r>
        <w:rPr>
          <w:rFonts w:hint="default" w:ascii="Times New Roman" w:hAnsi="Times New Roman" w:eastAsia="仿宋_GB2312" w:cs="Times New Roman"/>
          <w:kern w:val="0"/>
          <w:sz w:val="30"/>
          <w:szCs w:val="30"/>
          <w:highlight w:val="none"/>
          <w:lang w:eastAsia="zh-CN"/>
        </w:rPr>
        <w:t>支出决算较上年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1987.00</w:t>
      </w:r>
      <w:r>
        <w:rPr>
          <w:rFonts w:hint="default" w:ascii="Times New Roman" w:hAnsi="Times New Roman" w:eastAsia="仿宋_GB2312" w:cs="Times New Roman"/>
          <w:kern w:val="0"/>
          <w:sz w:val="30"/>
          <w:szCs w:val="30"/>
          <w:highlight w:val="none"/>
          <w:lang w:val="en-US" w:eastAsia="zh-CN"/>
        </w:rPr>
        <w:t>元，下降</w:t>
      </w:r>
      <w:r>
        <w:rPr>
          <w:rFonts w:hint="default" w:ascii="Times New Roman" w:hAnsi="Times New Roman" w:eastAsia="仿宋_GB2312" w:cs="Times New Roman"/>
          <w:color w:val="000000"/>
          <w:sz w:val="30"/>
          <w:lang w:val="zh-CN"/>
        </w:rPr>
        <w:t>86.50</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lang w:eastAsia="zh-CN"/>
        </w:rPr>
        <w:t>；具体是国内接待费支出决算</w:t>
      </w:r>
      <w:r>
        <w:rPr>
          <w:rFonts w:hint="default" w:ascii="Times New Roman" w:hAnsi="Times New Roman" w:eastAsia="仿宋_GB2312" w:cs="Times New Roman"/>
          <w:color w:val="000000"/>
          <w:sz w:val="30"/>
          <w:lang w:val="zh-CN"/>
        </w:rPr>
        <w:t>310.00</w:t>
      </w:r>
      <w:r>
        <w:rPr>
          <w:rFonts w:hint="default" w:ascii="Times New Roman" w:hAnsi="Times New Roman" w:eastAsia="仿宋_GB2312" w:cs="Times New Roman"/>
          <w:kern w:val="0"/>
          <w:sz w:val="30"/>
          <w:szCs w:val="30"/>
          <w:highlight w:val="none"/>
          <w:lang w:eastAsia="zh-CN"/>
        </w:rPr>
        <w:t>元（其中：外事接待费支出决算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1987.00</w:t>
      </w:r>
      <w:r>
        <w:rPr>
          <w:rFonts w:hint="default" w:ascii="Times New Roman" w:hAnsi="Times New Roman" w:eastAsia="仿宋_GB2312" w:cs="Times New Roman"/>
          <w:kern w:val="0"/>
          <w:sz w:val="30"/>
          <w:szCs w:val="30"/>
          <w:highlight w:val="none"/>
          <w:lang w:val="en-US" w:eastAsia="zh-CN"/>
        </w:rPr>
        <w:t>元，下降</w:t>
      </w:r>
      <w:r>
        <w:rPr>
          <w:rFonts w:hint="default" w:ascii="Times New Roman" w:hAnsi="Times New Roman" w:eastAsia="仿宋_GB2312" w:cs="Times New Roman"/>
          <w:color w:val="000000"/>
          <w:sz w:val="30"/>
          <w:lang w:val="zh-CN"/>
        </w:rPr>
        <w:t>86.50</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lang w:eastAsia="zh-CN"/>
        </w:rPr>
        <w:t>国（境）外接待费支出决算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元，较上年减少</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val="en-US" w:eastAsia="zh-CN"/>
        </w:rPr>
        <w:t>元，上年无此项支出。2025年度一般公共预算财政拨款“三公”经费支出决算减少的主要原因是落实政府过“紧日子”要求，严控“三公”经费支出，减少不必要的业务接待支出。</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outlineLvl w:val="2"/>
        <w:rPr>
          <w:rFonts w:hint="default" w:ascii="Times New Roman" w:hAnsi="Times New Roman" w:eastAsia="楷体_GB2312" w:cs="Times New Roman"/>
          <w:kern w:val="0"/>
          <w:sz w:val="30"/>
          <w:szCs w:val="30"/>
          <w:highlight w:val="none"/>
          <w:lang w:val="en-US" w:eastAsia="zh-CN"/>
        </w:rPr>
      </w:pPr>
      <w:r>
        <w:rPr>
          <w:rFonts w:hint="default" w:ascii="Times New Roman" w:hAnsi="Times New Roman" w:eastAsia="楷体_GB2312" w:cs="Times New Roman"/>
          <w:kern w:val="0"/>
          <w:sz w:val="30"/>
          <w:szCs w:val="30"/>
          <w:highlight w:val="none"/>
          <w:lang w:val="en-US" w:eastAsia="zh-CN"/>
        </w:rPr>
        <w:t>（二）一般公共预算财政拨款“三公”经费支出决算情况说明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5000.00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，支出决算为</w:t>
      </w:r>
      <w:r>
        <w:rPr>
          <w:rFonts w:hint="default" w:ascii="Times New Roman" w:hAnsi="Times New Roman" w:eastAsia="仿宋_GB2312" w:cs="Times New Roman"/>
          <w:color w:val="000000"/>
          <w:sz w:val="30"/>
          <w:lang w:val="zh-CN"/>
        </w:rPr>
        <w:t>310.00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，完成</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预算的</w:t>
      </w:r>
      <w:r>
        <w:rPr>
          <w:rFonts w:hint="default" w:ascii="Times New Roman" w:hAnsi="Times New Roman" w:eastAsia="仿宋_GB2312" w:cs="Times New Roman"/>
          <w:color w:val="000000"/>
          <w:sz w:val="30"/>
          <w:lang w:val="zh-CN"/>
        </w:rPr>
        <w:t>6.20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kern w:val="0"/>
          <w:sz w:val="30"/>
          <w:szCs w:val="30"/>
          <w:highlight w:val="none"/>
          <w:lang w:eastAsia="zh-CN"/>
        </w:rPr>
        <w:t>支出决算较上年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1987.00</w:t>
      </w:r>
      <w:r>
        <w:rPr>
          <w:rFonts w:hint="default" w:ascii="Times New Roman" w:hAnsi="Times New Roman" w:eastAsia="仿宋_GB2312" w:cs="Times New Roman"/>
          <w:kern w:val="0"/>
          <w:sz w:val="30"/>
          <w:szCs w:val="30"/>
          <w:highlight w:val="none"/>
          <w:lang w:val="en-US" w:eastAsia="zh-CN"/>
        </w:rPr>
        <w:t>元，下降</w:t>
      </w:r>
      <w:r>
        <w:rPr>
          <w:rFonts w:hint="default" w:ascii="Times New Roman" w:hAnsi="Times New Roman" w:eastAsia="仿宋_GB2312" w:cs="Times New Roman"/>
          <w:color w:val="000000"/>
          <w:sz w:val="30"/>
          <w:lang w:val="zh-CN"/>
        </w:rPr>
        <w:t>86.50</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sz w:val="30"/>
          <w:szCs w:val="30"/>
          <w:highlight w:val="none"/>
          <w:lang w:eastAsia="zh-CN"/>
        </w:rPr>
        <w:t>中：</w:t>
      </w:r>
      <w:r>
        <w:rPr>
          <w:rFonts w:hint="default" w:ascii="Times New Roman" w:hAnsi="Times New Roman" w:eastAsia="仿宋_GB2312" w:cs="Times New Roman"/>
          <w:sz w:val="30"/>
          <w:szCs w:val="30"/>
          <w:highlight w:val="none"/>
        </w:rPr>
        <w:t>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；公务用车购置费支出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；公务用车</w:t>
      </w:r>
      <w:r>
        <w:rPr>
          <w:rFonts w:hint="default" w:ascii="Times New Roman" w:hAnsi="Times New Roman" w:eastAsia="仿宋_GB2312" w:cs="Times New Roman"/>
          <w:sz w:val="30"/>
          <w:szCs w:val="30"/>
          <w:highlight w:val="none"/>
          <w:lang w:eastAsia="zh-CN"/>
        </w:rPr>
        <w:t>运行维护费</w:t>
      </w:r>
      <w:r>
        <w:rPr>
          <w:rFonts w:hint="default" w:ascii="Times New Roman" w:hAnsi="Times New Roman" w:eastAsia="仿宋_GB2312" w:cs="Times New Roman"/>
          <w:sz w:val="30"/>
          <w:szCs w:val="30"/>
          <w:highlight w:val="none"/>
        </w:rPr>
        <w:t>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；公务接待费支出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5000.00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310.00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，完成</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预算的</w:t>
      </w:r>
      <w:r>
        <w:rPr>
          <w:rFonts w:hint="default" w:ascii="Times New Roman" w:hAnsi="Times New Roman" w:eastAsia="仿宋_GB2312" w:cs="Times New Roman"/>
          <w:color w:val="000000"/>
          <w:sz w:val="30"/>
          <w:lang w:val="zh-CN"/>
        </w:rPr>
        <w:t>6.20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一般公共预算财政拨款“三公”经费支出决算数小于</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预算数的主要原因</w:t>
      </w:r>
      <w:r>
        <w:rPr>
          <w:rFonts w:hint="default" w:ascii="Times New Roman" w:hAnsi="Times New Roman" w:eastAsia="仿宋_GB2312" w:cs="Times New Roman"/>
          <w:sz w:val="30"/>
          <w:szCs w:val="30"/>
          <w:highlight w:val="none"/>
          <w:lang w:eastAsia="zh-CN"/>
        </w:rPr>
        <w:t>是</w:t>
      </w:r>
      <w:r>
        <w:rPr>
          <w:rFonts w:hint="default" w:ascii="Times New Roman" w:hAnsi="Times New Roman" w:eastAsia="仿宋_GB2312" w:cs="Times New Roman"/>
          <w:kern w:val="0"/>
          <w:sz w:val="30"/>
          <w:szCs w:val="30"/>
          <w:highlight w:val="none"/>
          <w:lang w:val="en-US" w:eastAsia="zh-CN"/>
        </w:rPr>
        <w:t>落实政府过“紧日子”要求，严控“三公”经费支出，减少不必要的业务接待支出。</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sz w:val="30"/>
          <w:szCs w:val="30"/>
          <w:highlight w:val="none"/>
          <w:lang w:eastAsia="zh-CN"/>
        </w:rPr>
        <w:t>中：</w:t>
      </w:r>
      <w:r>
        <w:rPr>
          <w:rFonts w:hint="default" w:ascii="Times New Roman" w:hAnsi="Times New Roman" w:eastAsia="仿宋_GB2312" w:cs="Times New Roman"/>
          <w:sz w:val="30"/>
          <w:szCs w:val="30"/>
          <w:highlight w:val="none"/>
        </w:rPr>
        <w:t>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支出决算增加</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上年无此项支出</w:t>
      </w:r>
      <w:r>
        <w:rPr>
          <w:rFonts w:hint="default" w:ascii="Times New Roman" w:hAnsi="Times New Roman" w:eastAsia="仿宋_GB2312" w:cs="Times New Roman"/>
          <w:sz w:val="30"/>
          <w:szCs w:val="30"/>
          <w:highlight w:val="none"/>
        </w:rPr>
        <w:t>；公务用车购置费支出决算增加</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上年无此项支出</w:t>
      </w:r>
      <w:r>
        <w:rPr>
          <w:rFonts w:hint="default" w:ascii="Times New Roman" w:hAnsi="Times New Roman" w:eastAsia="仿宋_GB2312" w:cs="Times New Roman"/>
          <w:sz w:val="30"/>
          <w:szCs w:val="30"/>
          <w:highlight w:val="none"/>
        </w:rPr>
        <w:t>；公务用车</w:t>
      </w:r>
      <w:r>
        <w:rPr>
          <w:rFonts w:hint="default" w:ascii="Times New Roman" w:hAnsi="Times New Roman" w:eastAsia="仿宋_GB2312" w:cs="Times New Roman"/>
          <w:sz w:val="30"/>
          <w:szCs w:val="30"/>
          <w:highlight w:val="none"/>
          <w:lang w:eastAsia="zh-CN"/>
        </w:rPr>
        <w:t>运行维护费</w:t>
      </w:r>
      <w:r>
        <w:rPr>
          <w:rFonts w:hint="default" w:ascii="Times New Roman" w:hAnsi="Times New Roman" w:eastAsia="仿宋_GB2312" w:cs="Times New Roman"/>
          <w:sz w:val="30"/>
          <w:szCs w:val="30"/>
          <w:highlight w:val="none"/>
        </w:rPr>
        <w:t>支出决算增加</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上年无此项支出</w:t>
      </w:r>
      <w:r>
        <w:rPr>
          <w:rFonts w:hint="default" w:ascii="Times New Roman" w:hAnsi="Times New Roman" w:eastAsia="仿宋_GB2312" w:cs="Times New Roman"/>
          <w:sz w:val="30"/>
          <w:szCs w:val="30"/>
          <w:highlight w:val="none"/>
        </w:rPr>
        <w:t>；公务接待费支出决算减少</w:t>
      </w:r>
      <w:r>
        <w:rPr>
          <w:rFonts w:hint="default" w:ascii="Times New Roman" w:hAnsi="Times New Roman" w:eastAsia="仿宋_GB2312" w:cs="Times New Roman"/>
          <w:color w:val="000000"/>
          <w:sz w:val="30"/>
          <w:lang w:val="zh-CN"/>
        </w:rPr>
        <w:t>1987.00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，下降</w:t>
      </w:r>
      <w:r>
        <w:rPr>
          <w:rFonts w:hint="default" w:ascii="Times New Roman" w:hAnsi="Times New Roman" w:eastAsia="仿宋_GB2312" w:cs="Times New Roman"/>
          <w:color w:val="000000"/>
          <w:sz w:val="30"/>
          <w:lang w:val="zh-CN"/>
        </w:rPr>
        <w:t>86.50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kern w:val="0"/>
          <w:sz w:val="30"/>
          <w:szCs w:val="30"/>
          <w:highlight w:val="none"/>
          <w:lang w:eastAsia="zh-CN"/>
        </w:rPr>
        <w:t>具体是国内接待费支出决算</w:t>
      </w:r>
      <w:r>
        <w:rPr>
          <w:rFonts w:hint="default" w:ascii="Times New Roman" w:hAnsi="Times New Roman" w:eastAsia="仿宋_GB2312" w:cs="Times New Roman"/>
          <w:color w:val="000000"/>
          <w:sz w:val="30"/>
          <w:lang w:val="zh-CN"/>
        </w:rPr>
        <w:t>310.00</w:t>
      </w:r>
      <w:r>
        <w:rPr>
          <w:rFonts w:hint="default" w:ascii="Times New Roman" w:hAnsi="Times New Roman" w:eastAsia="仿宋_GB2312" w:cs="Times New Roman"/>
          <w:kern w:val="0"/>
          <w:sz w:val="30"/>
          <w:szCs w:val="30"/>
          <w:highlight w:val="none"/>
          <w:lang w:eastAsia="zh-CN"/>
        </w:rPr>
        <w:t>元（其中：外事接待费支出决算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元），较上年</w:t>
      </w:r>
      <w:r>
        <w:rPr>
          <w:rFonts w:hint="default" w:ascii="Times New Roman" w:hAnsi="Times New Roman" w:eastAsia="仿宋_GB2312" w:cs="Times New Roman"/>
          <w:kern w:val="0"/>
          <w:sz w:val="30"/>
          <w:szCs w:val="30"/>
          <w:highlight w:val="none"/>
          <w:lang w:val="en-US" w:eastAsia="zh-CN"/>
        </w:rPr>
        <w:t>减少1987.00元，下降86.50%；</w:t>
      </w:r>
      <w:r>
        <w:rPr>
          <w:rFonts w:hint="default" w:ascii="Times New Roman" w:hAnsi="Times New Roman" w:eastAsia="仿宋_GB2312" w:cs="Times New Roman"/>
          <w:kern w:val="0"/>
          <w:sz w:val="30"/>
          <w:szCs w:val="30"/>
          <w:highlight w:val="none"/>
          <w:lang w:eastAsia="zh-CN"/>
        </w:rPr>
        <w:t>国（境）外接待费支出决算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元，较上年减少</w:t>
      </w:r>
      <w:r>
        <w:rPr>
          <w:rFonts w:hint="default" w:ascii="Times New Roman" w:hAnsi="Times New Roman" w:eastAsia="仿宋_GB2312" w:cs="Times New Roman"/>
          <w:kern w:val="0"/>
          <w:sz w:val="30"/>
          <w:szCs w:val="30"/>
          <w:highlight w:val="none"/>
          <w:lang w:val="en-US" w:eastAsia="zh-CN"/>
        </w:rPr>
        <w:t>0.00元，</w:t>
      </w:r>
      <w:r>
        <w:rPr>
          <w:rFonts w:hint="default" w:ascii="Times New Roman" w:hAnsi="Times New Roman" w:eastAsia="仿宋_GB2312" w:cs="Times New Roman"/>
          <w:sz w:val="30"/>
          <w:szCs w:val="30"/>
          <w:highlight w:val="none"/>
          <w:lang w:eastAsia="zh-CN"/>
        </w:rPr>
        <w:t>上年无此项支出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一般公共预算财政拨款“三公”经费支出决算减少的主要原因</w:t>
      </w:r>
      <w:r>
        <w:rPr>
          <w:rFonts w:hint="default" w:ascii="Times New Roman" w:hAnsi="Times New Roman" w:eastAsia="仿宋_GB2312" w:cs="Times New Roman"/>
          <w:sz w:val="30"/>
          <w:szCs w:val="30"/>
          <w:highlight w:val="none"/>
          <w:lang w:eastAsia="zh-CN"/>
        </w:rPr>
        <w:t>是</w:t>
      </w:r>
      <w:r>
        <w:rPr>
          <w:rFonts w:hint="default" w:ascii="Times New Roman" w:hAnsi="Times New Roman" w:eastAsia="仿宋_GB2312" w:cs="Times New Roman"/>
          <w:kern w:val="0"/>
          <w:sz w:val="30"/>
          <w:szCs w:val="30"/>
          <w:highlight w:val="none"/>
          <w:lang w:val="en-US" w:eastAsia="zh-CN"/>
        </w:rPr>
        <w:t>落实政府过“紧日子”要求，严控“三公”经费支出，减少不必要的业务接待支出。</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sz w:val="30"/>
          <w:szCs w:val="30"/>
          <w:highlight w:val="none"/>
          <w:lang w:eastAsia="zh-CN"/>
        </w:rPr>
        <w:t>实物量的</w:t>
      </w:r>
      <w:r>
        <w:rPr>
          <w:rFonts w:hint="default" w:ascii="Times New Roman" w:hAnsi="Times New Roman" w:eastAsia="仿宋_GB2312" w:cs="Times New Roman"/>
          <w:sz w:val="30"/>
          <w:szCs w:val="30"/>
          <w:highlight w:val="none"/>
        </w:rPr>
        <w:t>具体情况</w:t>
      </w:r>
      <w:r>
        <w:rPr>
          <w:rFonts w:hint="default" w:ascii="Times New Roman" w:hAnsi="Times New Roman" w:eastAsia="仿宋_GB2312" w:cs="Times New Roman"/>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b w:val="0"/>
          <w:bCs/>
          <w:sz w:val="30"/>
          <w:szCs w:val="30"/>
          <w:highlight w:val="none"/>
        </w:rPr>
      </w:pPr>
      <w:r>
        <w:rPr>
          <w:rFonts w:hint="default" w:ascii="Times New Roman" w:hAnsi="Times New Roman" w:eastAsia="仿宋_GB2312" w:cs="Times New Roman"/>
          <w:b w:val="0"/>
          <w:bCs/>
          <w:sz w:val="30"/>
          <w:szCs w:val="30"/>
          <w:highlight w:val="none"/>
        </w:rPr>
        <w:t>1.安排因公出国（境）团组</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b w:val="0"/>
          <w:bCs/>
          <w:sz w:val="30"/>
          <w:szCs w:val="30"/>
          <w:highlight w:val="none"/>
        </w:rPr>
        <w:t>个，累计</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b w:val="0"/>
          <w:bCs/>
          <w:sz w:val="30"/>
          <w:szCs w:val="30"/>
          <w:highlight w:val="none"/>
        </w:rPr>
        <w:t>人次。</w:t>
      </w:r>
    </w:p>
    <w:p>
      <w:pPr>
        <w:widowControl/>
        <w:snapToGrid w:val="0"/>
        <w:spacing w:before="100" w:after="100" w:line="360" w:lineRule="auto"/>
        <w:ind w:firstLine="600" w:firstLineChars="200"/>
        <w:jc w:val="both"/>
        <w:rPr>
          <w:rFonts w:hint="default" w:ascii="Times New Roman" w:hAnsi="Times New Roman" w:eastAsia="仿宋_GB2312" w:cs="Times New Roman"/>
          <w:b w:val="0"/>
          <w:bCs/>
          <w:sz w:val="30"/>
          <w:szCs w:val="30"/>
          <w:highlight w:val="none"/>
        </w:rPr>
      </w:pPr>
      <w:r>
        <w:rPr>
          <w:rFonts w:hint="default" w:ascii="Times New Roman" w:hAnsi="Times New Roman" w:eastAsia="仿宋_GB2312" w:cs="Times New Roman"/>
          <w:b w:val="0"/>
          <w:bCs/>
          <w:sz w:val="30"/>
          <w:szCs w:val="30"/>
          <w:highlight w:val="none"/>
        </w:rPr>
        <w:t>2.购置车辆</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b w:val="0"/>
          <w:bCs/>
          <w:sz w:val="30"/>
          <w:szCs w:val="30"/>
          <w:highlight w:val="none"/>
        </w:rPr>
        <w:t>辆。开支一般公共预算财政拨款的公务用车保有量为</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b w:val="0"/>
          <w:bCs/>
          <w:sz w:val="30"/>
          <w:szCs w:val="30"/>
          <w:highlight w:val="none"/>
        </w:rPr>
        <w:t>辆。</w:t>
      </w:r>
    </w:p>
    <w:p>
      <w:pPr>
        <w:widowControl/>
        <w:snapToGrid w:val="0"/>
        <w:spacing w:before="100" w:after="100" w:line="360" w:lineRule="auto"/>
        <w:ind w:firstLine="600" w:firstLineChars="200"/>
        <w:jc w:val="both"/>
        <w:rPr>
          <w:rFonts w:hint="default" w:ascii="Times New Roman" w:hAnsi="Times New Roman" w:eastAsia="仿宋_GB2312" w:cs="Times New Roman"/>
          <w:b w:val="0"/>
          <w:bCs/>
          <w:color w:val="FF0000"/>
          <w:sz w:val="30"/>
          <w:szCs w:val="30"/>
          <w:highlight w:val="none"/>
          <w:lang w:eastAsia="zh-CN"/>
        </w:rPr>
      </w:pPr>
      <w:r>
        <w:rPr>
          <w:rFonts w:hint="default" w:ascii="Times New Roman" w:hAnsi="Times New Roman" w:eastAsia="仿宋_GB2312" w:cs="Times New Roman"/>
          <w:b w:val="0"/>
          <w:bCs/>
          <w:sz w:val="30"/>
          <w:szCs w:val="30"/>
          <w:highlight w:val="none"/>
        </w:rPr>
        <w:t>3.安排</w:t>
      </w:r>
      <w:r>
        <w:rPr>
          <w:rFonts w:hint="default" w:ascii="Times New Roman" w:hAnsi="Times New Roman" w:eastAsia="仿宋_GB2312" w:cs="Times New Roman"/>
          <w:sz w:val="30"/>
          <w:szCs w:val="30"/>
          <w:highlight w:val="none"/>
        </w:rPr>
        <w:t>国内公务接待</w:t>
      </w:r>
      <w:r>
        <w:rPr>
          <w:rFonts w:hint="default" w:ascii="Times New Roman" w:hAnsi="Times New Roman" w:eastAsia="仿宋_GB2312" w:cs="Times New Roman"/>
          <w:color w:val="000000"/>
          <w:sz w:val="30"/>
          <w:lang w:val="zh-CN"/>
        </w:rPr>
        <w:t>1</w:t>
      </w:r>
      <w:r>
        <w:rPr>
          <w:rFonts w:hint="default" w:ascii="Times New Roman" w:hAnsi="Times New Roman" w:eastAsia="仿宋_GB2312" w:cs="Times New Roman"/>
          <w:sz w:val="30"/>
          <w:szCs w:val="30"/>
          <w:highlight w:val="none"/>
        </w:rPr>
        <w:t>批次（其中：外事接待</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批次），接待人次</w:t>
      </w:r>
      <w:r>
        <w:rPr>
          <w:rFonts w:hint="default" w:ascii="Times New Roman" w:hAnsi="Times New Roman" w:eastAsia="仿宋_GB2312" w:cs="Times New Roman"/>
          <w:color w:val="000000"/>
          <w:sz w:val="30"/>
          <w:lang w:val="zh-CN"/>
        </w:rPr>
        <w:t>2</w:t>
      </w:r>
      <w:r>
        <w:rPr>
          <w:rFonts w:hint="default" w:ascii="Times New Roman" w:hAnsi="Times New Roman" w:eastAsia="仿宋_GB2312" w:cs="Times New Roman"/>
          <w:sz w:val="30"/>
          <w:szCs w:val="30"/>
          <w:highlight w:val="none"/>
        </w:rPr>
        <w:t>人（其中：外事接待人次</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人）。主要用于</w:t>
      </w:r>
      <w:r>
        <w:rPr>
          <w:rFonts w:hint="default" w:ascii="Times New Roman" w:hAnsi="Times New Roman" w:eastAsia="仿宋_GB2312" w:cs="Times New Roman"/>
          <w:sz w:val="30"/>
          <w:szCs w:val="30"/>
          <w:highlight w:val="none"/>
          <w:lang w:val="en-US" w:eastAsia="zh-CN"/>
        </w:rPr>
        <w:t>云南省广播电视局德宏705台日常业务接洽工作开展和检查指导正常必需的接待工作</w:t>
      </w:r>
      <w:r>
        <w:rPr>
          <w:rFonts w:hint="default" w:ascii="Times New Roman" w:hAnsi="Times New Roman" w:eastAsia="仿宋_GB2312" w:cs="Times New Roman"/>
          <w:sz w:val="30"/>
          <w:szCs w:val="30"/>
          <w:highlight w:val="none"/>
        </w:rPr>
        <w:t>发生的接待支出。安排国（境）外公务接待</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批次，接待人次</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人。</w:t>
      </w:r>
    </w:p>
    <w:p>
      <w:pPr>
        <w:widowControl/>
        <w:snapToGrid w:val="0"/>
        <w:spacing w:before="100" w:after="100" w:line="360" w:lineRule="auto"/>
        <w:ind w:firstLine="600" w:firstLineChars="200"/>
        <w:jc w:val="left"/>
        <w:outlineLvl w:val="2"/>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（三）需要说明的事项</w:t>
      </w:r>
    </w:p>
    <w:p>
      <w:pPr>
        <w:widowControl/>
        <w:snapToGrid w:val="0"/>
        <w:spacing w:before="100" w:after="100" w:line="360" w:lineRule="auto"/>
        <w:ind w:firstLine="600" w:firstLineChars="200"/>
        <w:jc w:val="left"/>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不存在需要说明的事项。</w:t>
      </w:r>
    </w:p>
    <w:p>
      <w:pPr>
        <w:widowControl/>
        <w:snapToGrid w:val="0"/>
        <w:spacing w:before="100" w:after="100" w:line="360" w:lineRule="auto"/>
        <w:ind w:firstLine="640" w:firstLineChars="200"/>
        <w:jc w:val="left"/>
        <w:outlineLvl w:val="0"/>
        <w:rPr>
          <w:rFonts w:hint="default" w:ascii="Times New Roman" w:hAnsi="Times New Roman" w:eastAsia="仿宋_GB2312" w:cs="Times New Roman"/>
          <w:sz w:val="32"/>
          <w:szCs w:val="32"/>
          <w:highlight w:val="none"/>
        </w:rPr>
      </w:pPr>
      <w:r>
        <w:rPr>
          <w:rFonts w:hint="default" w:ascii="Times New Roman" w:hAnsi="Times New Roman" w:eastAsia="黑体" w:cs="Times New Roman"/>
          <w:sz w:val="32"/>
          <w:szCs w:val="32"/>
          <w:highlight w:val="none"/>
        </w:rPr>
        <w:t>第四部分  其他重要事项及相关口径情况说明</w:t>
      </w:r>
    </w:p>
    <w:p>
      <w:pPr>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一</w:t>
      </w:r>
      <w:r>
        <w:rPr>
          <w:rFonts w:hint="default" w:ascii="Times New Roman" w:hAnsi="Times New Roman" w:eastAsia="黑体" w:cs="Times New Roman"/>
          <w:sz w:val="30"/>
          <w:szCs w:val="30"/>
          <w:highlight w:val="none"/>
          <w:lang w:eastAsia="zh-CN"/>
        </w:rPr>
        <w:t>、</w:t>
      </w:r>
      <w:r>
        <w:rPr>
          <w:rFonts w:hint="default" w:ascii="Times New Roman" w:hAnsi="Times New Roman" w:eastAsia="黑体" w:cs="Times New Roman"/>
          <w:sz w:val="30"/>
          <w:szCs w:val="30"/>
          <w:highlight w:val="none"/>
        </w:rPr>
        <w:t>机关运行经费支出情况</w:t>
      </w:r>
    </w:p>
    <w:p>
      <w:pPr>
        <w:ind w:firstLine="600" w:firstLineChars="200"/>
        <w:jc w:val="both"/>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color w:val="auto"/>
          <w:sz w:val="30"/>
          <w:lang w:val="zh-CN"/>
        </w:rPr>
        <w:t>云南省广播电视局德宏705台</w:t>
      </w:r>
      <w:r>
        <w:rPr>
          <w:rFonts w:hint="default" w:ascii="Times New Roman" w:hAnsi="Times New Roman" w:eastAsia="仿宋_GB2312" w:cs="Times New Roman"/>
          <w:sz w:val="30"/>
          <w:szCs w:val="30"/>
          <w:highlight w:val="none"/>
          <w:lang w:val="en-US" w:eastAsia="zh-CN"/>
        </w:rPr>
        <w:t>2025</w:t>
      </w:r>
      <w:r>
        <w:rPr>
          <w:rFonts w:hint="default" w:ascii="Times New Roman" w:hAnsi="Times New Roman" w:eastAsia="仿宋_GB2312" w:cs="Times New Roman"/>
          <w:sz w:val="30"/>
          <w:szCs w:val="30"/>
          <w:highlight w:val="none"/>
        </w:rPr>
        <w:t>年机关运行经费支出</w:t>
      </w:r>
      <w:r>
        <w:rPr>
          <w:rFonts w:hint="default" w:ascii="Times New Roman" w:hAnsi="Times New Roman" w:eastAsia="仿宋_GB2312" w:cs="Times New Roman"/>
          <w:color w:val="auto"/>
          <w:sz w:val="30"/>
          <w:lang w:val="en-US" w:eastAsia="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比上年增加0.00元，增长0.00%，主要原因是云南省广播电视局德宏705台为公益一类全额拨款事业单位，没有机关运行经费支出。</w:t>
      </w:r>
    </w:p>
    <w:p>
      <w:pPr>
        <w:widowControl/>
        <w:ind w:firstLine="600" w:firstLineChars="200"/>
        <w:outlineLvl w:val="1"/>
        <w:rPr>
          <w:rFonts w:hint="default" w:ascii="Times New Roman" w:hAnsi="Times New Roman" w:eastAsia="黑体" w:cs="Times New Roman"/>
          <w:color w:val="000000"/>
          <w:kern w:val="0"/>
          <w:sz w:val="30"/>
          <w:szCs w:val="30"/>
          <w:highlight w:val="none"/>
        </w:rPr>
      </w:pPr>
      <w:r>
        <w:rPr>
          <w:rFonts w:hint="default" w:ascii="Times New Roman" w:hAnsi="Times New Roman" w:eastAsia="黑体" w:cs="Times New Roman"/>
          <w:color w:val="000000"/>
          <w:kern w:val="0"/>
          <w:sz w:val="30"/>
          <w:szCs w:val="30"/>
          <w:highlight w:val="none"/>
          <w:lang w:eastAsia="zh-CN"/>
        </w:rPr>
        <w:t>二、</w:t>
      </w:r>
      <w:r>
        <w:rPr>
          <w:rFonts w:hint="default" w:ascii="Times New Roman" w:hAnsi="Times New Roman" w:eastAsia="黑体" w:cs="Times New Roman"/>
          <w:color w:val="000000"/>
          <w:kern w:val="0"/>
          <w:sz w:val="30"/>
          <w:szCs w:val="30"/>
          <w:highlight w:val="none"/>
        </w:rPr>
        <w:t>国有资产占用情况</w:t>
      </w:r>
    </w:p>
    <w:p>
      <w:pPr>
        <w:widowControl/>
        <w:ind w:firstLine="600" w:firstLineChars="200"/>
        <w:rPr>
          <w:rFonts w:hint="default" w:ascii="Times New Roman" w:hAnsi="Times New Roman" w:eastAsia="仿宋_GB2312" w:cs="Times New Roman"/>
          <w:color w:val="000000"/>
          <w:kern w:val="0"/>
          <w:sz w:val="30"/>
          <w:szCs w:val="30"/>
          <w:highlight w:val="none"/>
        </w:rPr>
      </w:pPr>
      <w:r>
        <w:rPr>
          <w:rFonts w:hint="default" w:ascii="Times New Roman" w:hAnsi="Times New Roman" w:eastAsia="仿宋_GB2312" w:cs="Times New Roman"/>
          <w:sz w:val="30"/>
          <w:szCs w:val="30"/>
          <w:highlight w:val="none"/>
          <w:lang w:eastAsia="zh-CN"/>
        </w:rPr>
        <w:t>截至202</w:t>
      </w:r>
      <w:r>
        <w:rPr>
          <w:rFonts w:hint="default" w:ascii="Times New Roman" w:hAnsi="Times New Roman" w:eastAsia="仿宋_GB2312" w:cs="Times New Roman"/>
          <w:sz w:val="30"/>
          <w:szCs w:val="30"/>
          <w:highlight w:val="none"/>
          <w:lang w:val="en-US" w:eastAsia="zh-CN"/>
        </w:rPr>
        <w:t>5</w:t>
      </w:r>
      <w:r>
        <w:rPr>
          <w:rFonts w:hint="default" w:ascii="Times New Roman" w:hAnsi="Times New Roman" w:eastAsia="仿宋_GB2312" w:cs="Times New Roman"/>
          <w:sz w:val="30"/>
          <w:szCs w:val="30"/>
          <w:highlight w:val="none"/>
          <w:lang w:eastAsia="zh-CN"/>
        </w:rPr>
        <w:t>年末，</w:t>
      </w:r>
      <w:r>
        <w:rPr>
          <w:rFonts w:hint="default" w:ascii="Times New Roman" w:hAnsi="Times New Roman" w:eastAsia="仿宋_GB2312" w:cs="Times New Roman"/>
          <w:color w:val="auto"/>
          <w:sz w:val="30"/>
          <w:lang w:val="zh-CN"/>
        </w:rPr>
        <w:t>云南省广播电视局德宏705台</w:t>
      </w:r>
      <w:r>
        <w:rPr>
          <w:rFonts w:hint="default" w:ascii="Times New Roman" w:hAnsi="Times New Roman" w:eastAsia="仿宋_GB2312" w:cs="Times New Roman"/>
          <w:sz w:val="30"/>
          <w:szCs w:val="30"/>
          <w:highlight w:val="none"/>
          <w:lang w:eastAsia="zh-CN"/>
        </w:rPr>
        <w:t>资产总额7868565.83元，其中，流动资产357018.43元，固定资产7502798.98元（净值），对外投资及有价证券</w:t>
      </w:r>
      <w:r>
        <w:rPr>
          <w:rFonts w:hint="default" w:ascii="Times New Roman" w:hAnsi="Times New Roman" w:eastAsia="仿宋_GB2312" w:cs="Times New Roman"/>
          <w:sz w:val="30"/>
          <w:szCs w:val="30"/>
          <w:highlight w:val="none"/>
          <w:lang w:val="en-US" w:eastAsia="zh-CN"/>
        </w:rPr>
        <w:t>0.00</w:t>
      </w:r>
      <w:r>
        <w:rPr>
          <w:rFonts w:hint="default" w:ascii="Times New Roman" w:hAnsi="Times New Roman" w:eastAsia="仿宋_GB2312" w:cs="Times New Roman"/>
          <w:sz w:val="30"/>
          <w:szCs w:val="30"/>
          <w:highlight w:val="none"/>
          <w:lang w:eastAsia="zh-CN"/>
        </w:rPr>
        <w:t>元，在建工程</w:t>
      </w:r>
      <w:r>
        <w:rPr>
          <w:rFonts w:hint="default" w:ascii="Times New Roman" w:hAnsi="Times New Roman" w:eastAsia="仿宋_GB2312" w:cs="Times New Roman"/>
          <w:sz w:val="30"/>
          <w:szCs w:val="30"/>
          <w:highlight w:val="none"/>
          <w:lang w:val="en-US" w:eastAsia="zh-CN"/>
        </w:rPr>
        <w:t>0.00</w:t>
      </w:r>
      <w:r>
        <w:rPr>
          <w:rFonts w:hint="default" w:ascii="Times New Roman" w:hAnsi="Times New Roman" w:eastAsia="仿宋_GB2312" w:cs="Times New Roman"/>
          <w:sz w:val="30"/>
          <w:szCs w:val="30"/>
          <w:highlight w:val="none"/>
          <w:lang w:eastAsia="zh-CN"/>
        </w:rPr>
        <w:t>元，无形资产</w:t>
      </w:r>
      <w:r>
        <w:rPr>
          <w:rFonts w:hint="default" w:ascii="Times New Roman" w:hAnsi="Times New Roman" w:eastAsia="仿宋_GB2312" w:cs="Times New Roman"/>
          <w:sz w:val="30"/>
          <w:szCs w:val="30"/>
          <w:highlight w:val="none"/>
          <w:lang w:val="en-US" w:eastAsia="zh-CN"/>
        </w:rPr>
        <w:t>1.00</w:t>
      </w:r>
      <w:r>
        <w:rPr>
          <w:rFonts w:hint="default" w:ascii="Times New Roman" w:hAnsi="Times New Roman" w:eastAsia="仿宋_GB2312" w:cs="Times New Roman"/>
          <w:sz w:val="30"/>
          <w:szCs w:val="30"/>
          <w:highlight w:val="none"/>
          <w:lang w:eastAsia="zh-CN"/>
        </w:rPr>
        <w:t>元（净值），其他资产8747.42元（净值）（具体内容详见附表）</w:t>
      </w:r>
      <w:r>
        <w:rPr>
          <w:rFonts w:hint="default" w:ascii="Times New Roman" w:hAnsi="Times New Roman" w:eastAsia="仿宋_GB2312" w:cs="Times New Roman"/>
          <w:color w:val="000000"/>
          <w:kern w:val="0"/>
          <w:sz w:val="30"/>
          <w:szCs w:val="30"/>
          <w:highlight w:val="none"/>
        </w:rPr>
        <w:t>。与上年相比，本年资产总额增加</w:t>
      </w:r>
      <w:r>
        <w:rPr>
          <w:rFonts w:hint="default" w:ascii="Times New Roman" w:hAnsi="Times New Roman" w:eastAsia="仿宋_GB2312" w:cs="Times New Roman"/>
          <w:color w:val="000000"/>
          <w:kern w:val="0"/>
          <w:sz w:val="30"/>
          <w:szCs w:val="30"/>
          <w:highlight w:val="none"/>
          <w:lang w:val="en-US" w:eastAsia="zh-CN"/>
        </w:rPr>
        <w:t>104326.32</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，其中固定资产增加</w:t>
      </w:r>
      <w:r>
        <w:rPr>
          <w:rFonts w:hint="default" w:ascii="Times New Roman" w:hAnsi="Times New Roman" w:eastAsia="仿宋_GB2312" w:cs="Times New Roman"/>
          <w:color w:val="000000"/>
          <w:kern w:val="0"/>
          <w:sz w:val="30"/>
          <w:szCs w:val="30"/>
          <w:highlight w:val="none"/>
          <w:lang w:val="en-US" w:eastAsia="zh-CN"/>
        </w:rPr>
        <w:t>173749.38</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。处置房屋建筑物</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rPr>
        <w:t>平方米，账面原值</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；处置车辆</w:t>
      </w:r>
      <w:r>
        <w:rPr>
          <w:rFonts w:hint="default" w:ascii="Times New Roman" w:hAnsi="Times New Roman" w:eastAsia="仿宋_GB2312" w:cs="Times New Roman"/>
          <w:color w:val="000000"/>
          <w:kern w:val="0"/>
          <w:sz w:val="30"/>
          <w:szCs w:val="30"/>
          <w:highlight w:val="none"/>
          <w:lang w:val="en-US" w:eastAsia="zh-CN"/>
        </w:rPr>
        <w:t>0</w:t>
      </w:r>
      <w:r>
        <w:rPr>
          <w:rFonts w:hint="default" w:ascii="Times New Roman" w:hAnsi="Times New Roman" w:eastAsia="仿宋_GB2312" w:cs="Times New Roman"/>
          <w:color w:val="000000"/>
          <w:kern w:val="0"/>
          <w:sz w:val="30"/>
          <w:szCs w:val="30"/>
          <w:highlight w:val="none"/>
        </w:rPr>
        <w:t>辆，账面原值</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；报废报损资产</w:t>
      </w:r>
      <w:r>
        <w:rPr>
          <w:rFonts w:hint="default" w:ascii="Times New Roman" w:hAnsi="Times New Roman" w:eastAsia="仿宋_GB2312" w:cs="Times New Roman"/>
          <w:color w:val="000000"/>
          <w:kern w:val="0"/>
          <w:sz w:val="30"/>
          <w:szCs w:val="30"/>
          <w:highlight w:val="none"/>
          <w:lang w:val="en-US" w:eastAsia="zh-CN"/>
        </w:rPr>
        <w:t>0</w:t>
      </w:r>
      <w:r>
        <w:rPr>
          <w:rFonts w:hint="default" w:ascii="Times New Roman" w:hAnsi="Times New Roman" w:eastAsia="仿宋_GB2312" w:cs="Times New Roman"/>
          <w:color w:val="000000"/>
          <w:kern w:val="0"/>
          <w:sz w:val="30"/>
          <w:szCs w:val="30"/>
          <w:highlight w:val="none"/>
        </w:rPr>
        <w:t>项，账面原值</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，实现资产处置收入</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；出租房屋</w:t>
      </w:r>
      <w:r>
        <w:rPr>
          <w:rFonts w:hint="default" w:ascii="Times New Roman" w:hAnsi="Times New Roman" w:eastAsia="仿宋_GB2312" w:cs="Times New Roman"/>
          <w:color w:val="000000"/>
          <w:kern w:val="0"/>
          <w:sz w:val="30"/>
          <w:szCs w:val="30"/>
          <w:highlight w:val="none"/>
          <w:lang w:val="en-US" w:eastAsia="zh-CN"/>
        </w:rPr>
        <w:t>21.00</w:t>
      </w:r>
      <w:r>
        <w:rPr>
          <w:rFonts w:hint="default" w:ascii="Times New Roman" w:hAnsi="Times New Roman" w:eastAsia="仿宋_GB2312" w:cs="Times New Roman"/>
          <w:color w:val="000000"/>
          <w:kern w:val="0"/>
          <w:sz w:val="30"/>
          <w:szCs w:val="30"/>
          <w:highlight w:val="none"/>
        </w:rPr>
        <w:t>平方米，账面原值</w:t>
      </w:r>
      <w:r>
        <w:rPr>
          <w:rFonts w:hint="default" w:ascii="Times New Roman" w:hAnsi="Times New Roman" w:eastAsia="仿宋_GB2312" w:cs="Times New Roman"/>
          <w:color w:val="000000"/>
          <w:kern w:val="0"/>
          <w:sz w:val="30"/>
          <w:szCs w:val="30"/>
          <w:highlight w:val="none"/>
          <w:lang w:val="en-US" w:eastAsia="zh-CN"/>
        </w:rPr>
        <w:t>2628.55</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，实现资产使用收入</w:t>
      </w:r>
      <w:r>
        <w:rPr>
          <w:rFonts w:hint="default" w:ascii="Times New Roman" w:hAnsi="Times New Roman" w:eastAsia="仿宋_GB2312" w:cs="Times New Roman"/>
          <w:color w:val="000000"/>
          <w:kern w:val="0"/>
          <w:sz w:val="30"/>
          <w:szCs w:val="30"/>
          <w:highlight w:val="none"/>
          <w:lang w:val="en-US" w:eastAsia="zh-CN"/>
        </w:rPr>
        <w:t>4200.00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w:t>
      </w:r>
    </w:p>
    <w:p>
      <w:pPr>
        <w:widowControl/>
        <w:ind w:firstLine="600" w:firstLineChars="200"/>
        <w:rPr>
          <w:rFonts w:hint="default" w:ascii="Times New Roman" w:hAnsi="Times New Roman" w:eastAsia="仿宋_GB2312" w:cs="Times New Roman"/>
          <w:color w:val="000000"/>
          <w:kern w:val="0"/>
          <w:sz w:val="30"/>
          <w:szCs w:val="30"/>
          <w:highlight w:val="none"/>
          <w:lang w:eastAsia="zh-CN"/>
        </w:rPr>
      </w:pPr>
      <w:r>
        <w:rPr>
          <w:rFonts w:hint="default" w:ascii="Times New Roman" w:hAnsi="Times New Roman" w:eastAsia="仿宋_GB2312" w:cs="Times New Roman"/>
          <w:color w:val="000000"/>
          <w:kern w:val="0"/>
          <w:sz w:val="30"/>
          <w:szCs w:val="30"/>
          <w:highlight w:val="none"/>
          <w:lang w:eastAsia="zh-CN"/>
        </w:rPr>
        <w:t>（</w:t>
      </w:r>
      <w:r>
        <w:rPr>
          <w:rFonts w:hint="default" w:ascii="Times New Roman" w:hAnsi="Times New Roman" w:eastAsia="仿宋_GB2312" w:cs="Times New Roman"/>
          <w:color w:val="000000"/>
          <w:kern w:val="0"/>
          <w:sz w:val="30"/>
          <w:szCs w:val="30"/>
          <w:highlight w:val="none"/>
        </w:rPr>
        <w:t>国有资产占有使用情况表</w:t>
      </w:r>
      <w:r>
        <w:rPr>
          <w:rFonts w:hint="default" w:ascii="Times New Roman" w:hAnsi="Times New Roman" w:eastAsia="仿宋_GB2312" w:cs="Times New Roman"/>
          <w:color w:val="000000"/>
          <w:kern w:val="0"/>
          <w:sz w:val="30"/>
          <w:szCs w:val="30"/>
          <w:highlight w:val="none"/>
          <w:lang w:eastAsia="zh-CN"/>
        </w:rPr>
        <w:t>详见附表）</w:t>
      </w:r>
    </w:p>
    <w:p>
      <w:pPr>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lang w:eastAsia="zh-CN"/>
        </w:rPr>
        <w:t>三、政</w:t>
      </w:r>
      <w:r>
        <w:rPr>
          <w:rFonts w:hint="default" w:ascii="Times New Roman" w:hAnsi="Times New Roman" w:eastAsia="黑体" w:cs="Times New Roman"/>
          <w:sz w:val="30"/>
          <w:szCs w:val="30"/>
          <w:highlight w:val="none"/>
        </w:rPr>
        <w:t>府采购支出情况</w:t>
      </w:r>
      <w:bookmarkStart w:id="0" w:name="_GoBack"/>
      <w:bookmarkEnd w:id="0"/>
    </w:p>
    <w:p>
      <w:pPr>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2025年度，单位政府采购支出总额</w:t>
      </w:r>
      <w:r>
        <w:rPr>
          <w:rFonts w:hint="default" w:ascii="Times New Roman" w:hAnsi="Times New Roman" w:eastAsia="仿宋_GB2312" w:cs="Times New Roman"/>
          <w:color w:val="auto"/>
          <w:sz w:val="30"/>
          <w:lang w:val="zh-CN"/>
        </w:rPr>
        <w:t>19544.80</w:t>
      </w:r>
      <w:r>
        <w:rPr>
          <w:rFonts w:hint="default" w:ascii="Times New Roman" w:hAnsi="Times New Roman" w:eastAsia="仿宋_GB2312" w:cs="Times New Roman"/>
          <w:sz w:val="30"/>
          <w:szCs w:val="30"/>
          <w:highlight w:val="none"/>
          <w:lang w:val="en-US" w:eastAsia="zh-CN"/>
        </w:rPr>
        <w:t>元，其中：政府采购货物支出</w:t>
      </w:r>
      <w:r>
        <w:rPr>
          <w:rFonts w:hint="default" w:ascii="Times New Roman" w:hAnsi="Times New Roman" w:eastAsia="仿宋_GB2312" w:cs="Times New Roman"/>
          <w:color w:val="auto"/>
          <w:sz w:val="30"/>
          <w:lang w:val="zh-CN"/>
        </w:rPr>
        <w:t>19544.80</w:t>
      </w:r>
      <w:r>
        <w:rPr>
          <w:rFonts w:hint="default" w:ascii="Times New Roman" w:hAnsi="Times New Roman" w:eastAsia="仿宋_GB2312" w:cs="Times New Roman"/>
          <w:sz w:val="30"/>
          <w:szCs w:val="30"/>
          <w:highlight w:val="none"/>
          <w:lang w:val="en-US" w:eastAsia="zh-CN"/>
        </w:rPr>
        <w:t>元；政府采购工程支出</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val="en-US" w:eastAsia="zh-CN"/>
        </w:rPr>
        <w:t>元；政府采购服务支出</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val="en-US" w:eastAsia="zh-CN"/>
        </w:rPr>
        <w:t>元。授予中小企业合同金额</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val="en-US" w:eastAsia="zh-CN"/>
        </w:rPr>
        <w:t>元，其中：授予小微企业合同金额</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val="en-US" w:eastAsia="zh-CN"/>
        </w:rPr>
        <w:t>元。</w:t>
      </w:r>
    </w:p>
    <w:p>
      <w:pPr>
        <w:ind w:firstLine="600" w:firstLineChars="200"/>
        <w:jc w:val="left"/>
        <w:outlineLvl w:val="1"/>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四、单位绩效自评情况</w:t>
      </w:r>
    </w:p>
    <w:p>
      <w:pPr>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（一）绩效自评管理</w:t>
      </w:r>
    </w:p>
    <w:p>
      <w:pPr>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按照省财政厅项目绩效自评相关工作要求和《云南省广播电视局预算绩效管理办法》的规定开展绩效自评工作，纳入绩效自评的项目和资金范围做到了全覆盖，形成项目绩效自评报告，项目绩效自评在预算系统审核通过后报省财政厅审核，通过年度绩效自评推动单位整体绩效目标和预算项目绩效目标的实现，不断提升财政资金使用效益。</w:t>
      </w:r>
    </w:p>
    <w:p>
      <w:pPr>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（二）绩效评价结果应用</w:t>
      </w:r>
    </w:p>
    <w:p>
      <w:pPr>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按要求开展单位整体支出和预算项目绩效自评，上报绩效自评报告。从评价情况看，单位年度各项绩效目标完成情况良好，预算执行规范有序，达到了预期绩效目标。下一步，单位将继续强化绩效理念，优化指标设置，不断加强绩效评价结果的应用。</w:t>
      </w:r>
    </w:p>
    <w:p>
      <w:pPr>
        <w:widowControl/>
        <w:snapToGrid w:val="0"/>
        <w:spacing w:before="100" w:after="100" w:line="360" w:lineRule="auto"/>
        <w:ind w:firstLine="600"/>
        <w:jc w:val="left"/>
        <w:rPr>
          <w:rFonts w:ascii="Times New Roman" w:hAnsi="Times New Roman" w:cs="Times New Roman"/>
        </w:rPr>
      </w:pPr>
      <w:r>
        <w:rPr>
          <w:rFonts w:hint="default" w:ascii="Times New Roman" w:hAnsi="Times New Roman" w:eastAsia="仿宋_GB2312" w:cs="Times New Roman"/>
          <w:sz w:val="30"/>
          <w:szCs w:val="30"/>
          <w:highlight w:val="none"/>
          <w:lang w:val="en-US" w:eastAsia="zh-CN"/>
        </w:rPr>
        <w:t>单位绩效自评情况详见附表。</w:t>
      </w:r>
    </w:p>
    <w:p>
      <w:pPr>
        <w:widowControl/>
        <w:snapToGrid w:val="0"/>
        <w:spacing w:before="100" w:after="100" w:line="360" w:lineRule="auto"/>
        <w:ind w:firstLine="600" w:firstLineChars="200"/>
        <w:jc w:val="left"/>
        <w:outlineLvl w:val="1"/>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五、其他重要事项情况说明</w:t>
      </w:r>
    </w:p>
    <w:p>
      <w:pPr>
        <w:widowControl/>
        <w:snapToGrid w:val="0"/>
        <w:spacing w:before="100" w:after="100" w:line="360" w:lineRule="auto"/>
        <w:ind w:firstLine="600" w:firstLineChars="200"/>
        <w:jc w:val="left"/>
        <w:outlineLvl w:val="1"/>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rPr>
        <w:t>无。</w:t>
      </w:r>
    </w:p>
    <w:p>
      <w:pPr>
        <w:widowControl/>
        <w:snapToGrid w:val="0"/>
        <w:spacing w:before="100" w:after="100" w:line="360" w:lineRule="auto"/>
        <w:ind w:firstLine="600" w:firstLineChars="200"/>
        <w:jc w:val="left"/>
        <w:outlineLvl w:val="1"/>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六、相关口径说明</w:t>
      </w:r>
    </w:p>
    <w:p>
      <w:pPr>
        <w:ind w:firstLine="600" w:firstLineChars="200"/>
        <w:jc w:val="left"/>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eastAsia="zh-CN"/>
        </w:rPr>
        <w:t>（一）</w:t>
      </w:r>
      <w:r>
        <w:rPr>
          <w:rFonts w:hint="default" w:ascii="Times New Roman" w:hAnsi="Times New Roman" w:eastAsia="仿宋_GB2312" w:cs="Times New Roman"/>
          <w:sz w:val="30"/>
          <w:szCs w:val="30"/>
          <w:highlight w:val="none"/>
        </w:rPr>
        <w:t>基本支出中人员经费包括工资福利支出和对个人和家庭的补助，公用</w:t>
      </w:r>
      <w:r>
        <w:rPr>
          <w:rFonts w:hint="default" w:ascii="Times New Roman" w:hAnsi="Times New Roman" w:eastAsia="仿宋_GB2312" w:cs="Times New Roman"/>
          <w:sz w:val="30"/>
          <w:szCs w:val="30"/>
          <w:highlight w:val="none"/>
          <w:lang w:eastAsia="zh-CN"/>
        </w:rPr>
        <w:t>经费</w:t>
      </w:r>
      <w:r>
        <w:rPr>
          <w:rFonts w:hint="default" w:ascii="Times New Roman" w:hAnsi="Times New Roman" w:eastAsia="仿宋_GB2312" w:cs="Times New Roman"/>
          <w:sz w:val="30"/>
          <w:szCs w:val="30"/>
          <w:highlight w:val="none"/>
        </w:rPr>
        <w:t>包括商品和服务支出、资本性支出等人员经费以外的支出。</w:t>
      </w:r>
    </w:p>
    <w:p>
      <w:pPr>
        <w:ind w:firstLine="600" w:firstLineChars="200"/>
        <w:jc w:val="left"/>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eastAsia="zh-CN"/>
        </w:rPr>
        <w:t>（二）</w:t>
      </w:r>
      <w:r>
        <w:rPr>
          <w:rFonts w:hint="default" w:ascii="Times New Roman" w:hAnsi="Times New Roman" w:eastAsia="仿宋_GB2312" w:cs="Times New Roman"/>
          <w:sz w:val="30"/>
          <w:szCs w:val="30"/>
          <w:highlight w:val="none"/>
        </w:rPr>
        <w:t>机关运行经费指行政单位和参照公务员法管理的事业单位使用一般公共预算财政拨款安排的基本支出中的公用经费支出</w:t>
      </w:r>
      <w:r>
        <w:rPr>
          <w:rFonts w:hint="default" w:ascii="Times New Roman" w:hAnsi="Times New Roman" w:eastAsia="仿宋_GB2312" w:cs="Times New Roman"/>
          <w:sz w:val="30"/>
          <w:szCs w:val="30"/>
          <w:highlight w:val="none"/>
          <w:lang w:eastAsia="zh-CN"/>
        </w:rPr>
        <w:t>。</w:t>
      </w:r>
    </w:p>
    <w:p>
      <w:pPr>
        <w:ind w:firstLine="600" w:firstLineChars="200"/>
        <w:jc w:val="left"/>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（三）</w:t>
      </w:r>
      <w:r>
        <w:rPr>
          <w:rFonts w:hint="default" w:ascii="Times New Roman" w:hAnsi="Times New Roman" w:eastAsia="仿宋_GB2312" w:cs="Times New Roman"/>
          <w:sz w:val="30"/>
          <w:szCs w:val="30"/>
          <w:highlight w:val="none"/>
        </w:rPr>
        <w:t>按照党中央、国务院有关文件及部门预算管理有关规定，“三公”经费包括因公出国（境）费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、公务用车购置及运行维护费、公务接待费。其中：因公出国（境）费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，指单位公务出国（境）的国际旅费、国外城市间交通费、住宿费、伙食费、培训费、公杂费等支出；公务用车购置费，指公务用车购置支出（含车辆购置税</w:t>
      </w:r>
      <w:r>
        <w:rPr>
          <w:rFonts w:hint="default" w:ascii="Times New Roman" w:hAnsi="Times New Roman" w:eastAsia="仿宋_GB2312" w:cs="Times New Roman"/>
          <w:sz w:val="30"/>
          <w:szCs w:val="30"/>
          <w:highlight w:val="none"/>
          <w:lang w:eastAsia="zh-CN"/>
        </w:rPr>
        <w:t>、牌照费</w:t>
      </w:r>
      <w:r>
        <w:rPr>
          <w:rFonts w:hint="default" w:ascii="Times New Roman" w:hAnsi="Times New Roman" w:eastAsia="仿宋_GB2312" w:cs="Times New Roman"/>
          <w:sz w:val="30"/>
          <w:szCs w:val="30"/>
          <w:highlight w:val="none"/>
        </w:rPr>
        <w:t>）；公务用车运行维护费，指单位按规定保留的公务用车燃料费、维修费、过桥过路费、保险费、安全奖励费用等支出；公务用车指用于履行公务的机动车辆，包括省部级干部专车、一般公务用车和执法执勤用车；公务接待费，指单位按规定开支的各类公务接待（含外宾接待）费用。</w:t>
      </w:r>
      <w:r>
        <w:rPr>
          <w:rFonts w:hint="default" w:ascii="Times New Roman" w:hAnsi="Times New Roman" w:eastAsia="仿宋_GB2312" w:cs="Times New Roman"/>
          <w:sz w:val="30"/>
          <w:szCs w:val="30"/>
          <w:highlight w:val="none"/>
          <w:lang w:eastAsia="zh-CN"/>
        </w:rPr>
        <w:t>本文中公开的财政拨款“三公”经费相关数据是一般公共预算、政府性基金及国有资本经营预算财政拨款支出的相关经费，不含非财政拨款部分。</w:t>
      </w:r>
    </w:p>
    <w:p>
      <w:pPr>
        <w:ind w:firstLine="600" w:firstLineChars="200"/>
        <w:jc w:val="left"/>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eastAsia="zh-CN"/>
        </w:rPr>
        <w:t>（四）本文所称财政拨款</w:t>
      </w:r>
      <w:r>
        <w:rPr>
          <w:rFonts w:hint="default" w:ascii="Times New Roman" w:hAnsi="Times New Roman" w:eastAsia="仿宋_GB2312" w:cs="Times New Roman"/>
          <w:sz w:val="30"/>
          <w:szCs w:val="30"/>
          <w:highlight w:val="none"/>
        </w:rPr>
        <w:t>“三公”经费决算数</w:t>
      </w:r>
      <w:r>
        <w:rPr>
          <w:rFonts w:hint="default" w:ascii="Times New Roman" w:hAnsi="Times New Roman" w:eastAsia="仿宋_GB2312" w:cs="Times New Roman"/>
          <w:sz w:val="30"/>
          <w:szCs w:val="30"/>
          <w:highlight w:val="none"/>
          <w:lang w:eastAsia="zh-CN"/>
        </w:rPr>
        <w:t>是</w:t>
      </w:r>
      <w:r>
        <w:rPr>
          <w:rFonts w:hint="default" w:ascii="Times New Roman" w:hAnsi="Times New Roman" w:eastAsia="仿宋_GB2312" w:cs="Times New Roman"/>
          <w:sz w:val="30"/>
          <w:szCs w:val="30"/>
          <w:highlight w:val="none"/>
        </w:rPr>
        <w:t>指各部门（含下属单位）</w:t>
      </w:r>
      <w:r>
        <w:rPr>
          <w:rFonts w:hint="default" w:ascii="Times New Roman" w:hAnsi="Times New Roman" w:eastAsia="仿宋_GB2312" w:cs="Times New Roman"/>
          <w:sz w:val="30"/>
          <w:szCs w:val="30"/>
          <w:highlight w:val="none"/>
          <w:lang w:eastAsia="zh-CN"/>
        </w:rPr>
        <w:t>或单位</w:t>
      </w:r>
      <w:r>
        <w:rPr>
          <w:rFonts w:hint="default" w:ascii="Times New Roman" w:hAnsi="Times New Roman" w:eastAsia="仿宋_GB2312" w:cs="Times New Roman"/>
          <w:sz w:val="30"/>
          <w:szCs w:val="30"/>
          <w:highlight w:val="none"/>
        </w:rPr>
        <w:t>当年通过本级财政拨款和以前年度财政拨款结转结余资金安排的因公出国（境）费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、公务用车购置及运行维护费和公务接待费支出数（包括基本支出和项目支出）。</w:t>
      </w: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第</w:t>
      </w:r>
      <w:r>
        <w:rPr>
          <w:rFonts w:hint="default" w:ascii="Times New Roman" w:hAnsi="Times New Roman" w:eastAsia="黑体" w:cs="Times New Roman"/>
          <w:sz w:val="32"/>
          <w:szCs w:val="32"/>
          <w:highlight w:val="none"/>
          <w:lang w:eastAsia="zh-CN"/>
        </w:rPr>
        <w:t>五</w:t>
      </w:r>
      <w:r>
        <w:rPr>
          <w:rFonts w:hint="default" w:ascii="Times New Roman" w:hAnsi="Times New Roman" w:eastAsia="黑体" w:cs="Times New Roman"/>
          <w:sz w:val="32"/>
          <w:szCs w:val="32"/>
          <w:highlight w:val="none"/>
        </w:rPr>
        <w:t>部分  名词解释</w:t>
      </w:r>
    </w:p>
    <w:p>
      <w:pPr>
        <w:ind w:firstLine="600" w:firstLineChars="200"/>
        <w:jc w:val="left"/>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部门决算：各部门依据国家有关法律法规规定及其履行职能情况编制，反映部门和单位所有预算收支和结余执行结果及绩效等情况的综合性年度报告，是改进部门预算执行以及编制后续年度部门预算的参考和依据。</w:t>
      </w:r>
    </w:p>
    <w:p>
      <w:pPr>
        <w:ind w:firstLine="600" w:firstLineChars="200"/>
        <w:jc w:val="left"/>
        <w:rPr>
          <w:rFonts w:hint="default" w:ascii="Times New Roman" w:hAnsi="Times New Roman" w:eastAsia="仿宋_GB2312" w:cs="Times New Roman"/>
          <w:sz w:val="30"/>
          <w:szCs w:val="30"/>
          <w:highlight w:val="none"/>
        </w:rPr>
      </w:pPr>
    </w:p>
    <w:p>
      <w:pPr>
        <w:rPr>
          <w:rFonts w:ascii="Times New Roman" w:hAnsi="Times New Roman" w:cs="Times New Roman"/>
          <w:highlight w:val="none"/>
        </w:rPr>
      </w:pPr>
    </w:p>
    <w:p>
      <w:pPr>
        <w:rPr>
          <w:rFonts w:ascii="Times New Roman" w:hAnsi="Times New Roman" w:cs="Times New Roman"/>
        </w:rPr>
      </w:pPr>
    </w:p>
    <w:sectPr>
      <w:headerReference r:id="rId3" w:type="default"/>
      <w:footerReference r:id="rId4" w:type="default"/>
      <w:footerReference r:id="rId5" w:type="even"/>
      <w:pgSz w:w="11906" w:h="16838"/>
      <w:pgMar w:top="2098" w:right="1418" w:bottom="1588" w:left="1644"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5"/>
                            <w:rPr>
                              <w:rStyle w:val="8"/>
                            </w:rPr>
                          </w:pPr>
                          <w:r>
                            <w:rPr>
                              <w:rStyle w:val="8"/>
                              <w:sz w:val="28"/>
                              <w:szCs w:val="28"/>
                            </w:rPr>
                            <w:fldChar w:fldCharType="begin"/>
                          </w:r>
                          <w:r>
                            <w:rPr>
                              <w:rStyle w:val="8"/>
                              <w:sz w:val="28"/>
                              <w:szCs w:val="28"/>
                            </w:rPr>
                            <w:instrText xml:space="preserve">PAGE  </w:instrText>
                          </w:r>
                          <w:r>
                            <w:rPr>
                              <w:sz w:val="28"/>
                              <w:szCs w:val="28"/>
                            </w:rPr>
                            <w:fldChar w:fldCharType="separate"/>
                          </w:r>
                          <w:r>
                            <w:rPr>
                              <w:rStyle w:val="8"/>
                              <w:sz w:val="28"/>
                              <w:szCs w:val="28"/>
                            </w:rPr>
                            <w:t>8</w:t>
                          </w:r>
                          <w:r>
                            <w:rPr>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BoaYJL0wAAAAUBAAAPAAAAAAAAAAEAIAAAADgAAABkcnMvZG93bnJldi54&#10;bWxQSwECFAAUAAAACACHTuJAmN2xTLABAABJAwAADgAAAAAAAAABACAAAAA4AQAAZHJzL2Uyb0Rv&#10;Yy54bWxQSwUGAAAAAAYABgBZAQAAWgUAAAAA&#10;">
              <v:fill on="f" focussize="0,0"/>
              <v:stroke on="f" weight="1.25pt"/>
              <v:imagedata o:title=""/>
              <o:lock v:ext="edit" aspectratio="f"/>
              <v:textbox inset="0mm,0mm,0mm,0mm" style="mso-fit-shape-to-text:t;">
                <w:txbxContent>
                  <w:p>
                    <w:pPr>
                      <w:pStyle w:val="5"/>
                      <w:rPr>
                        <w:rStyle w:val="8"/>
                      </w:rPr>
                    </w:pPr>
                    <w:r>
                      <w:rPr>
                        <w:rStyle w:val="8"/>
                        <w:sz w:val="28"/>
                        <w:szCs w:val="28"/>
                      </w:rPr>
                      <w:fldChar w:fldCharType="begin"/>
                    </w:r>
                    <w:r>
                      <w:rPr>
                        <w:rStyle w:val="8"/>
                        <w:sz w:val="28"/>
                        <w:szCs w:val="28"/>
                      </w:rPr>
                      <w:instrText xml:space="preserve">PAGE  </w:instrText>
                    </w:r>
                    <w:r>
                      <w:rPr>
                        <w:sz w:val="28"/>
                        <w:szCs w:val="28"/>
                      </w:rPr>
                      <w:fldChar w:fldCharType="separate"/>
                    </w:r>
                    <w:r>
                      <w:rPr>
                        <w:rStyle w:val="8"/>
                        <w:sz w:val="28"/>
                        <w:szCs w:val="28"/>
                      </w:rPr>
                      <w:t>8</w:t>
                    </w:r>
                    <w:r>
                      <w:rPr>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Pr>
    </w:pPr>
    <w:r>
      <w:rPr>
        <w:rStyle w:val="8"/>
      </w:rPr>
      <w:fldChar w:fldCharType="begin"/>
    </w:r>
    <w:r>
      <w:rPr>
        <w:rStyle w:val="8"/>
      </w:rPr>
      <w:instrText xml:space="preserve">PAGE  </w:instrText>
    </w:r>
    <w:r>
      <w:fldChar w:fldCharType="separate"/>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9470FB"/>
    <w:multiLevelType w:val="singleLevel"/>
    <w:tmpl w:val="A09470FB"/>
    <w:lvl w:ilvl="0" w:tentative="0">
      <w:start w:val="3"/>
      <w:numFmt w:val="chineseCounting"/>
      <w:suff w:val="nothing"/>
      <w:lvlText w:val="%1、"/>
      <w:lvlJc w:val="left"/>
      <w:rPr>
        <w:rFonts w:hint="eastAsia"/>
      </w:rPr>
    </w:lvl>
  </w:abstractNum>
  <w:abstractNum w:abstractNumId="1">
    <w:nsid w:val="0053208E"/>
    <w:multiLevelType w:val="singleLevel"/>
    <w:tmpl w:val="0053208E"/>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2C3978"/>
    <w:rsid w:val="00CD79DA"/>
    <w:rsid w:val="08297BEC"/>
    <w:rsid w:val="18477C1A"/>
    <w:rsid w:val="1C2A7637"/>
    <w:rsid w:val="1E5B7F7C"/>
    <w:rsid w:val="2540461F"/>
    <w:rsid w:val="26A4428C"/>
    <w:rsid w:val="274201C4"/>
    <w:rsid w:val="3C81109D"/>
    <w:rsid w:val="3E2C3978"/>
    <w:rsid w:val="46133768"/>
    <w:rsid w:val="4D1B4BEC"/>
    <w:rsid w:val="51786173"/>
    <w:rsid w:val="55DB10BE"/>
    <w:rsid w:val="5608333D"/>
    <w:rsid w:val="621E4B15"/>
    <w:rsid w:val="63EE6769"/>
    <w:rsid w:val="66F75934"/>
    <w:rsid w:val="672C234B"/>
    <w:rsid w:val="6BBCB542"/>
    <w:rsid w:val="6CDB535A"/>
    <w:rsid w:val="6E440C72"/>
    <w:rsid w:val="739661D0"/>
    <w:rsid w:val="7DF747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spacing w:before="100" w:beforeLines="0" w:beforeAutospacing="1" w:after="100" w:afterLines="0" w:afterAutospacing="1"/>
      <w:jc w:val="left"/>
      <w:outlineLvl w:val="1"/>
    </w:pPr>
    <w:rPr>
      <w:rFonts w:hint="eastAsia" w:ascii="宋体" w:hAnsi="宋体" w:eastAsia="宋体" w:cs="宋体"/>
      <w:b/>
      <w:kern w:val="0"/>
      <w:sz w:val="36"/>
      <w:szCs w:val="36"/>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header"/>
    <w:basedOn w:val="1"/>
    <w:next w:val="1"/>
    <w:qFormat/>
    <w:uiPriority w:val="0"/>
    <w:pPr>
      <w:pBdr>
        <w:bottom w:val="single" w:color="auto" w:sz="6" w:space="1"/>
      </w:pBdr>
      <w:tabs>
        <w:tab w:val="center" w:pos="4153"/>
        <w:tab w:val="right" w:pos="8306"/>
      </w:tabs>
      <w:snapToGrid w:val="0"/>
      <w:jc w:val="center"/>
    </w:pPr>
    <w:rPr>
      <w:sz w:val="18"/>
      <w:szCs w:val="18"/>
    </w:rPr>
  </w:style>
  <w:style w:type="paragraph" w:styleId="4">
    <w:name w:val="Body Text"/>
    <w:basedOn w:val="1"/>
    <w:qFormat/>
    <w:uiPriority w:val="0"/>
    <w:pPr>
      <w:spacing w:before="93" w:beforeLines="30"/>
    </w:pPr>
    <w:rPr>
      <w:rFonts w:ascii="仿宋_GB2312" w:eastAsia="仿宋_GB2312"/>
      <w:sz w:val="30"/>
    </w:rPr>
  </w:style>
  <w:style w:type="paragraph" w:styleId="5">
    <w:name w:val="footer"/>
    <w:basedOn w:val="1"/>
    <w:qFormat/>
    <w:uiPriority w:val="0"/>
    <w:pPr>
      <w:tabs>
        <w:tab w:val="center" w:pos="4153"/>
        <w:tab w:val="right" w:pos="8306"/>
      </w:tabs>
      <w:snapToGrid w:val="0"/>
      <w:jc w:val="left"/>
    </w:pPr>
    <w:rPr>
      <w:sz w:val="18"/>
      <w:szCs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7786</Words>
  <Characters>8837</Characters>
  <Lines>0</Lines>
  <Paragraphs>0</Paragraphs>
  <TotalTime>2</TotalTime>
  <ScaleCrop>false</ScaleCrop>
  <LinksUpToDate>false</LinksUpToDate>
  <CharactersWithSpaces>8859</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2026-08-25T17:38:00Z</dcterms:created>
  <dc:creator>    汤     汤</dc:creator>
  <cp:lastModifiedBy>kylin</cp:lastModifiedBy>
  <dcterms:modified xsi:type="dcterms:W3CDTF">2026-09-01T11:39:30Z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037602D327514CB8A26BB8DDD58FE31D_13</vt:lpwstr>
  </property>
  <property fmtid="{D5CDD505-2E9C-101B-9397-08002B2CF9AE}" pid="4" name="KSOTemplateDocerSaveRecord">
    <vt:lpwstr>eyJoZGlkIjoiMDFiZThhY2U5ZjIzMzYxOTNlZjQ2MTIzMTBhMDQ1ZDEiLCJ1c2VySWQiOiI5NzExMTc1MTkifQ==</vt:lpwstr>
  </property>
</Properties>
</file>